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E5539E" w14:textId="77777777" w:rsidR="00D81853" w:rsidRPr="00D81853" w:rsidRDefault="00D81853" w:rsidP="00E13617">
      <w:pPr>
        <w:jc w:val="center"/>
        <w:rPr>
          <w:b/>
          <w:bCs/>
        </w:rPr>
      </w:pPr>
      <w:r w:rsidRPr="00D81853">
        <w:rPr>
          <w:b/>
          <w:bCs/>
        </w:rPr>
        <w:t xml:space="preserve">SOAH DOCKET NO. 473-21-2424 </w:t>
      </w:r>
    </w:p>
    <w:p w14:paraId="183E774E" w14:textId="5AC5AF0F" w:rsidR="00E13617" w:rsidRPr="00D81853" w:rsidRDefault="00D81853" w:rsidP="00E13617">
      <w:pPr>
        <w:jc w:val="center"/>
        <w:rPr>
          <w:b/>
          <w:bCs/>
        </w:rPr>
      </w:pPr>
      <w:r w:rsidRPr="00D81853">
        <w:rPr>
          <w:b/>
          <w:bCs/>
        </w:rPr>
        <w:t>PUC DOCKET NO. 52067</w:t>
      </w:r>
    </w:p>
    <w:p w14:paraId="6CD9CA68" w14:textId="77777777" w:rsidR="00D81853" w:rsidRPr="00280E5C" w:rsidRDefault="00D81853" w:rsidP="00E13617">
      <w:pPr>
        <w:jc w:val="center"/>
        <w:rPr>
          <w:b/>
          <w:szCs w:val="24"/>
        </w:rPr>
      </w:pPr>
    </w:p>
    <w:tbl>
      <w:tblPr>
        <w:tblW w:w="9576" w:type="dxa"/>
        <w:jc w:val="center"/>
        <w:tblLook w:val="01E0" w:firstRow="1" w:lastRow="1" w:firstColumn="1" w:lastColumn="1" w:noHBand="0" w:noVBand="0"/>
      </w:tblPr>
      <w:tblGrid>
        <w:gridCol w:w="4608"/>
        <w:gridCol w:w="360"/>
        <w:gridCol w:w="4608"/>
      </w:tblGrid>
      <w:tr w:rsidR="00E13617" w:rsidRPr="00280E5C" w14:paraId="6090F1CD" w14:textId="77777777" w:rsidTr="00D81853">
        <w:trPr>
          <w:jc w:val="center"/>
        </w:trPr>
        <w:tc>
          <w:tcPr>
            <w:tcW w:w="4608" w:type="dxa"/>
          </w:tcPr>
          <w:p w14:paraId="34C2541E" w14:textId="04253A13" w:rsidR="00E13617" w:rsidRPr="00AD0159" w:rsidRDefault="001E776E" w:rsidP="00974284">
            <w:pPr>
              <w:jc w:val="left"/>
              <w:rPr>
                <w:b/>
                <w:bCs/>
                <w:caps/>
                <w:szCs w:val="24"/>
              </w:rPr>
            </w:pPr>
            <w:r>
              <w:rPr>
                <w:b/>
                <w:bCs/>
                <w:caps/>
                <w:szCs w:val="24"/>
              </w:rPr>
              <w:t>APPLICATION OF ENTE</w:t>
            </w:r>
            <w:r w:rsidR="00216348">
              <w:rPr>
                <w:b/>
                <w:bCs/>
                <w:caps/>
                <w:szCs w:val="24"/>
              </w:rPr>
              <w:t>r</w:t>
            </w:r>
            <w:r>
              <w:rPr>
                <w:b/>
                <w:bCs/>
                <w:caps/>
                <w:szCs w:val="24"/>
              </w:rPr>
              <w:t>GY TEXAS, INC. FOR AUTHORITY TO ADJUST ITS ENERGY EFFICIENCY COST RECOVERY FACTOR AND REQUEST TO ESTABLISH REVISED COST CAPS</w:t>
            </w:r>
          </w:p>
        </w:tc>
        <w:tc>
          <w:tcPr>
            <w:tcW w:w="360" w:type="dxa"/>
          </w:tcPr>
          <w:p w14:paraId="1E21C42A" w14:textId="77777777" w:rsidR="00E13617" w:rsidRPr="00280E5C" w:rsidRDefault="00E13617" w:rsidP="00C52E9A">
            <w:pPr>
              <w:jc w:val="center"/>
              <w:rPr>
                <w:b/>
                <w:szCs w:val="24"/>
              </w:rPr>
            </w:pPr>
            <w:r w:rsidRPr="00280E5C">
              <w:rPr>
                <w:b/>
                <w:szCs w:val="24"/>
              </w:rPr>
              <w:t>§</w:t>
            </w:r>
          </w:p>
          <w:p w14:paraId="106F3AC1" w14:textId="77777777" w:rsidR="00E13617" w:rsidRDefault="00E13617" w:rsidP="00C52E9A">
            <w:pPr>
              <w:jc w:val="center"/>
              <w:rPr>
                <w:b/>
                <w:szCs w:val="24"/>
              </w:rPr>
            </w:pPr>
            <w:r w:rsidRPr="00280E5C">
              <w:rPr>
                <w:b/>
                <w:szCs w:val="24"/>
              </w:rPr>
              <w:t>§</w:t>
            </w:r>
          </w:p>
          <w:p w14:paraId="1F9B4E13" w14:textId="77777777" w:rsidR="00974284" w:rsidRDefault="00E13617" w:rsidP="00C52E9A">
            <w:pPr>
              <w:jc w:val="center"/>
              <w:rPr>
                <w:b/>
                <w:szCs w:val="24"/>
              </w:rPr>
            </w:pPr>
            <w:r>
              <w:rPr>
                <w:b/>
                <w:szCs w:val="24"/>
              </w:rPr>
              <w:t>§</w:t>
            </w:r>
          </w:p>
          <w:p w14:paraId="585E6CB0" w14:textId="77777777" w:rsidR="001E776E" w:rsidRDefault="001E776E" w:rsidP="00C52E9A">
            <w:pPr>
              <w:jc w:val="center"/>
              <w:rPr>
                <w:b/>
                <w:szCs w:val="24"/>
              </w:rPr>
            </w:pPr>
            <w:r>
              <w:rPr>
                <w:b/>
                <w:szCs w:val="24"/>
              </w:rPr>
              <w:t>§</w:t>
            </w:r>
          </w:p>
          <w:p w14:paraId="09D59EF9" w14:textId="397C8E47" w:rsidR="001E776E" w:rsidRPr="00280E5C" w:rsidRDefault="001E776E" w:rsidP="00C52E9A">
            <w:pPr>
              <w:jc w:val="center"/>
              <w:rPr>
                <w:b/>
                <w:szCs w:val="24"/>
              </w:rPr>
            </w:pPr>
            <w:r>
              <w:rPr>
                <w:b/>
                <w:szCs w:val="24"/>
              </w:rPr>
              <w:t>§</w:t>
            </w:r>
          </w:p>
        </w:tc>
        <w:tc>
          <w:tcPr>
            <w:tcW w:w="4608" w:type="dxa"/>
          </w:tcPr>
          <w:p w14:paraId="0F6EFFC1" w14:textId="77777777" w:rsidR="00E13617" w:rsidRDefault="00D81853" w:rsidP="00D81853">
            <w:pPr>
              <w:pStyle w:val="Docketstyle"/>
              <w:spacing w:line="240" w:lineRule="auto"/>
              <w:jc w:val="center"/>
              <w:rPr>
                <w:bCs/>
                <w:szCs w:val="24"/>
              </w:rPr>
            </w:pPr>
            <w:r>
              <w:rPr>
                <w:bCs/>
                <w:szCs w:val="24"/>
              </w:rPr>
              <w:t>Before the state office</w:t>
            </w:r>
          </w:p>
          <w:p w14:paraId="358CEE6A" w14:textId="77777777" w:rsidR="00D81853" w:rsidRDefault="00D81853" w:rsidP="00D81853">
            <w:pPr>
              <w:pStyle w:val="Docketstyle"/>
              <w:spacing w:line="240" w:lineRule="auto"/>
              <w:jc w:val="center"/>
              <w:rPr>
                <w:bCs/>
                <w:szCs w:val="24"/>
              </w:rPr>
            </w:pPr>
          </w:p>
          <w:p w14:paraId="2664407B" w14:textId="3D59B54C" w:rsidR="00D81853" w:rsidRDefault="00D81853" w:rsidP="00D81853">
            <w:pPr>
              <w:pStyle w:val="Docketstyle"/>
              <w:spacing w:line="240" w:lineRule="auto"/>
              <w:jc w:val="center"/>
              <w:rPr>
                <w:bCs/>
                <w:szCs w:val="24"/>
              </w:rPr>
            </w:pPr>
            <w:r>
              <w:rPr>
                <w:bCs/>
                <w:szCs w:val="24"/>
              </w:rPr>
              <w:t>of</w:t>
            </w:r>
          </w:p>
          <w:p w14:paraId="01161A83" w14:textId="77777777" w:rsidR="00D81853" w:rsidRDefault="00D81853" w:rsidP="00D81853">
            <w:pPr>
              <w:pStyle w:val="Docketstyle"/>
              <w:spacing w:line="240" w:lineRule="auto"/>
              <w:jc w:val="center"/>
              <w:rPr>
                <w:bCs/>
                <w:szCs w:val="24"/>
              </w:rPr>
            </w:pPr>
          </w:p>
          <w:p w14:paraId="2B867706" w14:textId="154E1646" w:rsidR="00D81853" w:rsidRPr="00280E5C" w:rsidRDefault="00D81853" w:rsidP="00D81853">
            <w:pPr>
              <w:pStyle w:val="Docketstyle"/>
              <w:spacing w:line="240" w:lineRule="auto"/>
              <w:jc w:val="center"/>
              <w:rPr>
                <w:bCs/>
                <w:szCs w:val="24"/>
              </w:rPr>
            </w:pPr>
            <w:r>
              <w:rPr>
                <w:bCs/>
                <w:szCs w:val="24"/>
              </w:rPr>
              <w:t>Administrative hearings</w:t>
            </w:r>
          </w:p>
        </w:tc>
      </w:tr>
    </w:tbl>
    <w:p w14:paraId="33993065" w14:textId="77777777" w:rsidR="00E13617" w:rsidRDefault="00E13617" w:rsidP="0020175E">
      <w:pPr>
        <w:pStyle w:val="Documentheading"/>
        <w:rPr>
          <w:sz w:val="24"/>
          <w:szCs w:val="24"/>
        </w:rPr>
      </w:pPr>
    </w:p>
    <w:p w14:paraId="7788C664" w14:textId="45CBC3BD" w:rsidR="000D18B3" w:rsidRPr="00D35DFD" w:rsidRDefault="0020175E" w:rsidP="00C52E9A">
      <w:pPr>
        <w:pStyle w:val="Documentheading"/>
        <w:rPr>
          <w:sz w:val="24"/>
          <w:szCs w:val="24"/>
        </w:rPr>
      </w:pPr>
      <w:r w:rsidRPr="00D35DFD">
        <w:rPr>
          <w:sz w:val="24"/>
          <w:szCs w:val="24"/>
        </w:rPr>
        <w:t xml:space="preserve">Commission STAFF’S </w:t>
      </w:r>
      <w:r w:rsidR="00C52E9A">
        <w:rPr>
          <w:sz w:val="24"/>
          <w:szCs w:val="24"/>
        </w:rPr>
        <w:t>STATEMENT OF POSITION</w:t>
      </w:r>
    </w:p>
    <w:p w14:paraId="552FDF24" w14:textId="77777777" w:rsidR="0096155A" w:rsidRPr="00F969A1" w:rsidRDefault="0096155A" w:rsidP="00764067">
      <w:pPr>
        <w:jc w:val="center"/>
        <w:rPr>
          <w:rFonts w:eastAsia="Calibri"/>
          <w:b/>
          <w:szCs w:val="24"/>
        </w:rPr>
      </w:pPr>
    </w:p>
    <w:p w14:paraId="42461A25" w14:textId="022E6CBF" w:rsidR="00346A1E" w:rsidRDefault="00216348" w:rsidP="00346A1E">
      <w:pPr>
        <w:pStyle w:val="Paragraphdouble"/>
        <w:spacing w:line="360" w:lineRule="auto"/>
      </w:pPr>
      <w:r>
        <w:t>On May 3, 2021, Entergy Texas, Inc. (ETI) filed an application with the Public Utility Commission of Texas (Commission) to adjust its energy efficiency cost recovery factor (EECRF).</w:t>
      </w:r>
      <w:r w:rsidRPr="00216348">
        <w:t xml:space="preserve"> </w:t>
      </w:r>
      <w:r>
        <w:t>ETI seeks to adjust its EECRF for 2022 to recover a total of $12,080,473 and requests that the Commission approve the adjusted EECRF to be effective with the first billing cycle of January 2022. ETI also requests a good cause exception to establish a higher cost cap for</w:t>
      </w:r>
      <w:r w:rsidRPr="00216348">
        <w:t xml:space="preserve"> </w:t>
      </w:r>
      <w:r>
        <w:t>its commercial rate classes than that prescribed in 16 Texas Administrative Code (TAC) § 25.182(d)(7)(C).</w:t>
      </w:r>
      <w:r w:rsidR="00425C3F">
        <w:t xml:space="preserve"> On May 13, 2021, ETI filed proof of notice. On May 25, 2021, the Commission referred this case to the State Office of Administrative Hearings (SOAH).</w:t>
      </w:r>
    </w:p>
    <w:p w14:paraId="235D6381" w14:textId="14D77C37" w:rsidR="00425C3F" w:rsidRDefault="00425C3F" w:rsidP="00346A1E">
      <w:pPr>
        <w:pStyle w:val="Paragraphdouble"/>
        <w:spacing w:line="360" w:lineRule="auto"/>
      </w:pPr>
      <w:r>
        <w:t xml:space="preserve">On </w:t>
      </w:r>
      <w:r w:rsidR="00D81853">
        <w:t xml:space="preserve">June 30, 2021, SOAH Order No. 2 was filed, scheduling a hearing on the merits for August 16, 2021. Under 16 TAC </w:t>
      </w:r>
      <w:r w:rsidR="00D81853" w:rsidRPr="0051637F">
        <w:t>§</w:t>
      </w:r>
      <w:r w:rsidR="00D81853">
        <w:t xml:space="preserve"> 22.141(a), a party that has not </w:t>
      </w:r>
      <w:proofErr w:type="spellStart"/>
      <w:r w:rsidR="00D81853">
        <w:t>prefiled</w:t>
      </w:r>
      <w:proofErr w:type="spellEnd"/>
      <w:r w:rsidR="00D81853">
        <w:t xml:space="preserve"> direct testimony is required to file a statement of position no later than three working days before the start of a hearing. Three working days before August 16, 2021</w:t>
      </w:r>
      <w:r w:rsidR="00CE7CD4">
        <w:t>,</w:t>
      </w:r>
      <w:r w:rsidR="00D81853">
        <w:t xml:space="preserve"> is August 11, 2021. Therefore, this pleading is timely filed. </w:t>
      </w:r>
    </w:p>
    <w:p w14:paraId="1C3F130C" w14:textId="77777777" w:rsidR="00D81853" w:rsidRDefault="00D81853" w:rsidP="00346A1E">
      <w:pPr>
        <w:pStyle w:val="Paragraphdouble"/>
        <w:spacing w:line="360" w:lineRule="auto"/>
      </w:pPr>
    </w:p>
    <w:p w14:paraId="4E3ED145" w14:textId="25DBCA78" w:rsidR="00425C3F" w:rsidRPr="00425C3F" w:rsidRDefault="00D81853" w:rsidP="00425C3F">
      <w:pPr>
        <w:pStyle w:val="Paragraphdouble"/>
        <w:numPr>
          <w:ilvl w:val="0"/>
          <w:numId w:val="31"/>
        </w:numPr>
        <w:spacing w:line="360" w:lineRule="auto"/>
        <w:ind w:left="720"/>
        <w:jc w:val="center"/>
        <w:rPr>
          <w:b/>
          <w:bCs/>
        </w:rPr>
      </w:pPr>
      <w:r>
        <w:rPr>
          <w:b/>
          <w:bCs/>
        </w:rPr>
        <w:t>STATEMENT OF POSITION</w:t>
      </w:r>
    </w:p>
    <w:p w14:paraId="0CBC823E" w14:textId="70A27DA9" w:rsidR="00D81853" w:rsidRDefault="00D81853" w:rsidP="00D81853">
      <w:pPr>
        <w:pStyle w:val="Paragraphdouble"/>
        <w:spacing w:line="360" w:lineRule="auto"/>
      </w:pPr>
      <w:r>
        <w:t>Staff has reviewed the record and recommends that ETI’s application has satisfied all appliable requirements under 16 TAC § 25.182. On June 10, 2021, ETI identified and agreed to remove $149.62 of taxes on financially based incentive compensation inadvertently included in its EECRF request. Accordingly, Staff recommends that ETI’s EECRF application be approved, subject to the removal of $149.62 of taxes on financially based incentive compensation</w:t>
      </w:r>
      <w:r w:rsidR="00BE1461">
        <w:t>.</w:t>
      </w:r>
    </w:p>
    <w:p w14:paraId="24BBA320" w14:textId="23BCB725" w:rsidR="00BE1461" w:rsidRPr="00BE1461" w:rsidRDefault="00BE1461" w:rsidP="00BE1461">
      <w:pPr>
        <w:pStyle w:val="Paragraphdouble"/>
        <w:spacing w:before="120" w:line="360" w:lineRule="auto"/>
        <w:ind w:firstLine="0"/>
        <w:rPr>
          <w:b/>
          <w:bCs/>
          <w:i/>
          <w:iCs/>
        </w:rPr>
      </w:pPr>
      <w:r w:rsidRPr="00BE1461">
        <w:rPr>
          <w:b/>
          <w:bCs/>
          <w:i/>
          <w:iCs/>
        </w:rPr>
        <w:t>Avoided cost of energy</w:t>
      </w:r>
    </w:p>
    <w:p w14:paraId="336B3F9E" w14:textId="56D2C1D1" w:rsidR="00DC133A" w:rsidRDefault="00DC133A" w:rsidP="00D81853">
      <w:pPr>
        <w:pStyle w:val="Paragraphdouble"/>
        <w:spacing w:line="360" w:lineRule="auto"/>
      </w:pPr>
      <w:r>
        <w:t xml:space="preserve">Under 16 TAC </w:t>
      </w:r>
      <w:r w:rsidRPr="0051637F">
        <w:t>§</w:t>
      </w:r>
      <w:r>
        <w:t xml:space="preserve"> 25.182(e), a utility that exceeds its demand and energy reduction goals at a cost that does not exceed the cost caps established under 16 TAC </w:t>
      </w:r>
      <w:r w:rsidRPr="0051637F">
        <w:t>§</w:t>
      </w:r>
      <w:r>
        <w:t xml:space="preserve"> 25.182(d)(7) is entitled to a performance bonus. However, 16 TAC </w:t>
      </w:r>
      <w:r w:rsidRPr="0051637F">
        <w:t>§</w:t>
      </w:r>
      <w:r>
        <w:t xml:space="preserve"> 25.181(e)(2) provides that a utility that cannot reasonably </w:t>
      </w:r>
      <w:r>
        <w:lastRenderedPageBreak/>
        <w:t xml:space="preserve">operate its energy efficiency programs at the established cost caps may petition for a good cause exception to the rule and a higher EECRF cost cap. In its application, ETI projects that it will not reasonably be able to operate its energy efficiency programs and meet its energy and demand goals at the commercial customer cost cap established under 16 TAC </w:t>
      </w:r>
      <w:r w:rsidRPr="0051637F">
        <w:t>§</w:t>
      </w:r>
      <w:r>
        <w:t xml:space="preserve"> 25.182(d)(7)(B). Accordingly, ETI’s EECRF application includes a request for a good cause exception to the rule and permission to raise its commercial customer cost cap for calendar year 2022. </w:t>
      </w:r>
    </w:p>
    <w:p w14:paraId="36DD39B9" w14:textId="380A7936" w:rsidR="00D81853" w:rsidRDefault="00D81853" w:rsidP="00D81853">
      <w:pPr>
        <w:pStyle w:val="Paragraphdouble"/>
        <w:spacing w:line="360" w:lineRule="auto"/>
      </w:pPr>
      <w:r>
        <w:t xml:space="preserve">On July 21, 2021, the Cities Served by Entergy Texas, Inc. (Cities) filed the Direct Testimony of Karl J. Nalepa, asserting that ETI could avoid the need to increase </w:t>
      </w:r>
      <w:r w:rsidR="00DC133A">
        <w:t xml:space="preserve">its commercial customer cost cap </w:t>
      </w:r>
      <w:r>
        <w:t>by petitioning the Commission to use an alternative avoided cost of energy in its performance bonus calculation. While Staff agrees that using an alternative avoided cost</w:t>
      </w:r>
      <w:r w:rsidR="00DC133A">
        <w:t xml:space="preserve"> of energy</w:t>
      </w:r>
      <w:r>
        <w:t xml:space="preserve"> could help </w:t>
      </w:r>
      <w:r w:rsidR="00CE7CD4">
        <w:t>obviate</w:t>
      </w:r>
      <w:r>
        <w:t xml:space="preserve"> the need </w:t>
      </w:r>
      <w:r w:rsidR="00DC133A">
        <w:t>for ETI’s requested good cause exception</w:t>
      </w:r>
      <w:r>
        <w:t xml:space="preserve">, Staff recommends that ETI is not required to </w:t>
      </w:r>
      <w:r w:rsidR="007600A2">
        <w:t>petition for such</w:t>
      </w:r>
      <w:r>
        <w:t xml:space="preserve"> an alternative cost under 16 TAC § 25.181(d)(3)(B).</w:t>
      </w:r>
    </w:p>
    <w:p w14:paraId="5FFC46B2" w14:textId="2B9F9C36" w:rsidR="00D81853" w:rsidRDefault="00D81853" w:rsidP="00D81853">
      <w:pPr>
        <w:pStyle w:val="Paragraphdouble"/>
        <w:spacing w:line="360" w:lineRule="auto"/>
      </w:pPr>
      <w:r>
        <w:t xml:space="preserve">Under 16 TAC § 25.182(e), </w:t>
      </w:r>
      <w:r w:rsidR="007600A2">
        <w:t>a utility</w:t>
      </w:r>
      <w:r>
        <w:t xml:space="preserve"> that exceed</w:t>
      </w:r>
      <w:r w:rsidR="007600A2">
        <w:t>s</w:t>
      </w:r>
      <w:r>
        <w:t xml:space="preserve"> </w:t>
      </w:r>
      <w:r w:rsidR="007600A2">
        <w:t>its</w:t>
      </w:r>
      <w:r>
        <w:t xml:space="preserve"> demand and energy reduction goals without exceeding the applicable cost cap </w:t>
      </w:r>
      <w:r w:rsidR="007600A2">
        <w:t>is entitled to</w:t>
      </w:r>
      <w:r>
        <w:t xml:space="preserve"> a performance bonus based on the utility’s energy efficiency achievements for the previous program year. The performance bonus is a share of the net benefits (the sum of total avoided costs associated with the eligible programs administered by the utility, minus the sum of all program costs) realized in meeting the demand reduction goal.  The avoided costs in </w:t>
      </w:r>
      <w:r w:rsidR="007600A2">
        <w:t>the calculation of</w:t>
      </w:r>
      <w:r>
        <w:t xml:space="preserve"> net benefits include the avoided cost of capacity and the avoided cost of energy</w:t>
      </w:r>
      <w:r w:rsidR="007600A2">
        <w:t>, which</w:t>
      </w:r>
      <w:r>
        <w:t xml:space="preserve"> the Electric Reliability Council of Texas (ERCOT) </w:t>
      </w:r>
      <w:r w:rsidR="00CE7CD4">
        <w:t xml:space="preserve">calculates </w:t>
      </w:r>
      <w:r>
        <w:t xml:space="preserve">by determining the load-weighted average of the competitive load zone settlement point prices for peak periods covering the two previous winter and summer peaks.  </w:t>
      </w:r>
      <w:r w:rsidR="007600A2">
        <w:t>Accordingly,</w:t>
      </w:r>
      <w:r>
        <w:t xml:space="preserve"> </w:t>
      </w:r>
      <w:r w:rsidR="007600A2">
        <w:t xml:space="preserve">a utility’s </w:t>
      </w:r>
      <w:r>
        <w:t xml:space="preserve">net benefits rise </w:t>
      </w:r>
      <w:r w:rsidR="007600A2">
        <w:t>alongside the avoided cost of energy</w:t>
      </w:r>
      <w:r>
        <w:t xml:space="preserve"> </w:t>
      </w:r>
      <w:r w:rsidR="007600A2">
        <w:t xml:space="preserve">unless it is </w:t>
      </w:r>
      <w:r>
        <w:t xml:space="preserve">offset by changes to the avoided cost of capacity or program costs. While the ERCOT-calculated avoided cost of energy for program year 2020 was higher than normal, the calculation was not challenged in Project No. </w:t>
      </w:r>
      <w:r w:rsidR="001838CD" w:rsidRPr="00E14EAE">
        <w:t>38578</w:t>
      </w:r>
      <w:r w:rsidRPr="00E14EAE">
        <w:t>.</w:t>
      </w:r>
      <w:r>
        <w:t xml:space="preserve"> </w:t>
      </w:r>
    </w:p>
    <w:p w14:paraId="6C31085B" w14:textId="281BAD41" w:rsidR="00D81853" w:rsidRDefault="00D81853" w:rsidP="00D81853">
      <w:pPr>
        <w:pStyle w:val="Paragraphdouble"/>
        <w:spacing w:line="360" w:lineRule="auto"/>
      </w:pPr>
      <w:r>
        <w:t>ETI is authorized to use the ERCOT-calculated avoided cost of energy under 16 TAC § 25.181(d)(3)(B). Alternatively, 16 TAC §</w:t>
      </w:r>
      <w:r w:rsidR="00CE7CD4">
        <w:t> </w:t>
      </w:r>
      <w:r>
        <w:t xml:space="preserve">25.181(d)(3)(B) also permits ETI to petition the Commission for authorization to use an alternative avoided cost of energy; however, ETI has not petitioned the Commission for such authorization. Staff notes that 16 TAC § 25.181(d)(3)(B) does not require utilities to petition for an alternative avoided cost of energy, and no other utility ever has petitioned to use an alternative avoided cost of energy in an EECRF proceeding. Because ETI </w:t>
      </w:r>
      <w:r>
        <w:lastRenderedPageBreak/>
        <w:t xml:space="preserve">did not petition the Commission for authorization to use an alternative avoided cost of energy, ETI is required to use the ERCOT-calculated alternative cost of energy in calculating its performance bonus. </w:t>
      </w:r>
    </w:p>
    <w:p w14:paraId="65FC3F0C" w14:textId="4B06B6BB" w:rsidR="001B2817" w:rsidRPr="00993573" w:rsidRDefault="001B2817" w:rsidP="00DF4672">
      <w:pPr>
        <w:pStyle w:val="Paragraphdouble"/>
        <w:spacing w:line="360" w:lineRule="auto"/>
        <w:ind w:firstLine="0"/>
        <w:rPr>
          <w:b/>
          <w:bCs/>
          <w:i/>
          <w:iCs/>
        </w:rPr>
      </w:pPr>
      <w:r w:rsidRPr="00993573">
        <w:rPr>
          <w:b/>
          <w:bCs/>
          <w:i/>
          <w:iCs/>
        </w:rPr>
        <w:t>Staff’s recommendation</w:t>
      </w:r>
    </w:p>
    <w:p w14:paraId="681F0E26" w14:textId="41499823" w:rsidR="007556A7" w:rsidRDefault="00D81853" w:rsidP="00D81853">
      <w:pPr>
        <w:pStyle w:val="Paragraphdouble"/>
        <w:spacing w:line="360" w:lineRule="auto"/>
      </w:pPr>
      <w:r>
        <w:t xml:space="preserve">Staff recognizes that the higher-than-normal avoided cost of energy calculated by ERCOT for program year 2020 increased the amount of performance bonus that ETI is eligible for under 16 TAC § 25.182(e). </w:t>
      </w:r>
      <w:r w:rsidR="000C7F1B">
        <w:t>Staff notes that the performance bonus is an important tool for incentivizing utilities’ energy efficiency programs, which help reduce demand and increase reliability of the electric grid. Here, ETI complied with all requirements when calculating its performance bonus and is not required to seek authorization to use a lower avoided cost of energy than other utilities in the state.</w:t>
      </w:r>
      <w:r w:rsidR="00E97204">
        <w:t xml:space="preserve"> </w:t>
      </w:r>
    </w:p>
    <w:p w14:paraId="6E31CD86" w14:textId="601B874B" w:rsidR="00E97204" w:rsidRDefault="00E97204" w:rsidP="00D81853">
      <w:pPr>
        <w:pStyle w:val="Paragraphdouble"/>
        <w:spacing w:line="360" w:lineRule="auto"/>
      </w:pPr>
      <w:r>
        <w:t>If the Commission believes that the amount of performance bonus warrants adjustment in light of the revised cost caps</w:t>
      </w:r>
      <w:r w:rsidR="00B40404">
        <w:t xml:space="preserve"> ETI requests for the 2022 program year</w:t>
      </w:r>
      <w:r>
        <w:t xml:space="preserve">, the Commission has the authority to reduce the performance bonus in </w:t>
      </w:r>
      <w:r w:rsidR="007556A7" w:rsidRPr="007556A7">
        <w:t>the EECRF proceeding in which the bonus is requested</w:t>
      </w:r>
      <w:r>
        <w:t>.</w:t>
      </w:r>
      <w:r>
        <w:rPr>
          <w:rStyle w:val="FootnoteReference"/>
        </w:rPr>
        <w:footnoteReference w:id="1"/>
      </w:r>
    </w:p>
    <w:p w14:paraId="51DB49A2" w14:textId="22F3930D" w:rsidR="00E97204" w:rsidRDefault="00E97204" w:rsidP="00D81853">
      <w:pPr>
        <w:pStyle w:val="Paragraphdouble"/>
        <w:spacing w:line="360" w:lineRule="auto"/>
      </w:pPr>
      <w:r>
        <w:t xml:space="preserve">Further, it is Commission Staff’s position that Cities’ request to adjust ETI’s avoided cost of energy is outside the scope of an EECRF proceeding. The process for establishing a utility’s EECRF is governed by 16 TAC </w:t>
      </w:r>
      <w:r w:rsidRPr="0051637F">
        <w:t>§</w:t>
      </w:r>
      <w:r>
        <w:t xml:space="preserve"> 25.182, which does not contemplate a challenge to the avoided cost of energy used by a utility in its calculations. While 16 TAC </w:t>
      </w:r>
      <w:r w:rsidRPr="0051637F">
        <w:t>§</w:t>
      </w:r>
      <w:r>
        <w:t xml:space="preserve"> 25.181(d)(3)(A) provides a mechanism for challenging the ERCOT-calculated avoided cost of energy and 16 TAC </w:t>
      </w:r>
      <w:r w:rsidRPr="0051637F">
        <w:t>§</w:t>
      </w:r>
      <w:r w:rsidR="002D1FCF">
        <w:t> </w:t>
      </w:r>
      <w:r>
        <w:t xml:space="preserve">25.181(d)(3)(B) provides that a utility in an area without customer choice may petition the Commission to use an alternative avoided cost of energy, both </w:t>
      </w:r>
      <w:r w:rsidR="002D1FCF">
        <w:t>mechanisms contemplate action</w:t>
      </w:r>
      <w:r w:rsidR="00CE7CD4">
        <w:t xml:space="preserve"> outside of an EECRF proceeding</w:t>
      </w:r>
      <w:r w:rsidR="002D1FCF">
        <w:t>.</w:t>
      </w:r>
    </w:p>
    <w:p w14:paraId="301A8844" w14:textId="3E2B4F2D" w:rsidR="00D81853" w:rsidRDefault="002D1FCF" w:rsidP="00D81853">
      <w:pPr>
        <w:pStyle w:val="Paragraphdouble"/>
        <w:spacing w:line="360" w:lineRule="auto"/>
      </w:pPr>
      <w:r>
        <w:t xml:space="preserve">Accordingly, Staff recommends that, </w:t>
      </w:r>
      <w:r w:rsidR="00D81853">
        <w:t>because ETI complied with all applicable requirements, ETI’s application should be approved subject to adjustments made to reflect the agreed removal of $149.62 of taxes on financially based incentive compensation.</w:t>
      </w:r>
    </w:p>
    <w:p w14:paraId="6C92C57E" w14:textId="6C8C5AD6" w:rsidR="00E519AD" w:rsidRDefault="00E519AD" w:rsidP="00E519AD">
      <w:pPr>
        <w:pStyle w:val="Paragraphdouble"/>
        <w:spacing w:line="360" w:lineRule="auto"/>
      </w:pPr>
    </w:p>
    <w:p w14:paraId="5F85B45C" w14:textId="27650790" w:rsidR="002D1FCF" w:rsidRDefault="002D1FCF" w:rsidP="00E519AD">
      <w:pPr>
        <w:pStyle w:val="Paragraphdouble"/>
        <w:spacing w:line="360" w:lineRule="auto"/>
      </w:pPr>
    </w:p>
    <w:p w14:paraId="55AF536E" w14:textId="2D4384A1" w:rsidR="00E519AD" w:rsidRPr="00425C3F" w:rsidRDefault="00E519AD" w:rsidP="00E519AD">
      <w:pPr>
        <w:pStyle w:val="Paragraphdouble"/>
        <w:numPr>
          <w:ilvl w:val="0"/>
          <w:numId w:val="31"/>
        </w:numPr>
        <w:spacing w:line="360" w:lineRule="auto"/>
        <w:ind w:left="720"/>
        <w:jc w:val="center"/>
        <w:rPr>
          <w:b/>
          <w:bCs/>
        </w:rPr>
      </w:pPr>
      <w:r>
        <w:rPr>
          <w:b/>
          <w:bCs/>
        </w:rPr>
        <w:lastRenderedPageBreak/>
        <w:t>CONCLUSION</w:t>
      </w:r>
    </w:p>
    <w:p w14:paraId="5D24EC86" w14:textId="1E8946EB" w:rsidR="00E519AD" w:rsidRDefault="00A518EE" w:rsidP="00A37383">
      <w:pPr>
        <w:pStyle w:val="Paragraphdouble"/>
        <w:spacing w:line="360" w:lineRule="auto"/>
      </w:pPr>
      <w:r>
        <w:t>It is Staff’s position that ETI complied with all applicable requirements and that ETI’s application should be approved subject to adjustments made to reflect the agreed removal of $149.62 of taxes on financially based incentive compensation.</w:t>
      </w:r>
    </w:p>
    <w:p w14:paraId="1B5BEDA9" w14:textId="77777777" w:rsidR="002D1FCF" w:rsidRDefault="002D1FCF" w:rsidP="005030EF">
      <w:pPr>
        <w:rPr>
          <w:szCs w:val="24"/>
        </w:rPr>
      </w:pPr>
    </w:p>
    <w:p w14:paraId="5C9BEFD8" w14:textId="27E1F935" w:rsidR="005030EF" w:rsidRPr="00FA2D56" w:rsidRDefault="005030EF" w:rsidP="00B40404">
      <w:pPr>
        <w:tabs>
          <w:tab w:val="left" w:pos="6600"/>
        </w:tabs>
        <w:rPr>
          <w:szCs w:val="24"/>
        </w:rPr>
      </w:pPr>
      <w:r w:rsidRPr="00FA2D56">
        <w:rPr>
          <w:szCs w:val="24"/>
        </w:rPr>
        <w:t xml:space="preserve">Dated: </w:t>
      </w:r>
      <w:r w:rsidRPr="00FA2D56">
        <w:rPr>
          <w:szCs w:val="24"/>
        </w:rPr>
        <w:fldChar w:fldCharType="begin"/>
      </w:r>
      <w:r w:rsidRPr="00FA2D56">
        <w:rPr>
          <w:szCs w:val="24"/>
        </w:rPr>
        <w:instrText xml:space="preserve"> DATE \@ "MMMM d, yyyy" </w:instrText>
      </w:r>
      <w:r w:rsidRPr="00FA2D56">
        <w:rPr>
          <w:szCs w:val="24"/>
        </w:rPr>
        <w:fldChar w:fldCharType="separate"/>
      </w:r>
      <w:r w:rsidR="00993573">
        <w:rPr>
          <w:noProof/>
          <w:szCs w:val="24"/>
        </w:rPr>
        <w:t>August 10, 2021</w:t>
      </w:r>
      <w:r w:rsidRPr="00FA2D56">
        <w:rPr>
          <w:szCs w:val="24"/>
        </w:rPr>
        <w:fldChar w:fldCharType="end"/>
      </w:r>
    </w:p>
    <w:p w14:paraId="654D1280" w14:textId="77777777" w:rsidR="005030EF" w:rsidRDefault="005030EF" w:rsidP="005030EF">
      <w:pPr>
        <w:spacing w:line="480" w:lineRule="auto"/>
        <w:ind w:left="3600" w:firstLine="720"/>
        <w:rPr>
          <w:szCs w:val="24"/>
        </w:rPr>
      </w:pPr>
    </w:p>
    <w:p w14:paraId="58CB9AF4" w14:textId="77777777" w:rsidR="005030EF" w:rsidRDefault="005030EF" w:rsidP="005030EF">
      <w:pPr>
        <w:spacing w:line="480" w:lineRule="auto"/>
        <w:ind w:left="3600" w:firstLine="720"/>
        <w:rPr>
          <w:szCs w:val="24"/>
        </w:rPr>
      </w:pPr>
      <w:r w:rsidRPr="00B13432">
        <w:rPr>
          <w:szCs w:val="24"/>
        </w:rPr>
        <w:t xml:space="preserve">Respectfully </w:t>
      </w:r>
      <w:r w:rsidR="00B2313B">
        <w:rPr>
          <w:szCs w:val="24"/>
        </w:rPr>
        <w:t>s</w:t>
      </w:r>
      <w:r w:rsidRPr="00B13432">
        <w:rPr>
          <w:szCs w:val="24"/>
        </w:rPr>
        <w:t>ubmitted,</w:t>
      </w:r>
    </w:p>
    <w:p w14:paraId="16047668" w14:textId="77777777" w:rsidR="005030EF" w:rsidRPr="00F95914" w:rsidRDefault="005030EF" w:rsidP="00EF5525">
      <w:pPr>
        <w:ind w:left="4320"/>
        <w:contextualSpacing/>
        <w:jc w:val="left"/>
        <w:rPr>
          <w:b/>
          <w:szCs w:val="24"/>
        </w:rPr>
      </w:pPr>
      <w:r w:rsidRPr="00F95914">
        <w:rPr>
          <w:b/>
          <w:szCs w:val="24"/>
        </w:rPr>
        <w:t xml:space="preserve">PUBLIC UTILITY COMMISSION OF TEXAS </w:t>
      </w:r>
    </w:p>
    <w:p w14:paraId="443F3F9C" w14:textId="77777777" w:rsidR="005030EF" w:rsidRPr="00F95914" w:rsidRDefault="005030EF" w:rsidP="005030EF">
      <w:pPr>
        <w:ind w:left="4320"/>
        <w:contextualSpacing/>
        <w:rPr>
          <w:b/>
          <w:szCs w:val="24"/>
        </w:rPr>
      </w:pPr>
      <w:r w:rsidRPr="00F95914">
        <w:rPr>
          <w:b/>
          <w:szCs w:val="24"/>
        </w:rPr>
        <w:t>LEGAL DIVISION</w:t>
      </w:r>
    </w:p>
    <w:p w14:paraId="4978169E" w14:textId="77777777" w:rsidR="00A516CC" w:rsidRPr="00280E5C" w:rsidRDefault="00A516CC" w:rsidP="00A516CC">
      <w:pPr>
        <w:rPr>
          <w:szCs w:val="24"/>
        </w:rPr>
      </w:pPr>
    </w:p>
    <w:p w14:paraId="1F088829" w14:textId="77777777" w:rsidR="00010D0C" w:rsidRDefault="00010D0C" w:rsidP="00010D0C">
      <w:pPr>
        <w:keepNext/>
        <w:ind w:left="4320"/>
      </w:pPr>
      <w:r>
        <w:t>Rachelle Nicolette Robles</w:t>
      </w:r>
    </w:p>
    <w:p w14:paraId="255C61CA" w14:textId="77777777" w:rsidR="00010D0C" w:rsidRPr="00280E5C" w:rsidRDefault="00010D0C" w:rsidP="00010D0C">
      <w:pPr>
        <w:rPr>
          <w:szCs w:val="24"/>
        </w:rPr>
      </w:pPr>
      <w:r>
        <w:rPr>
          <w:szCs w:val="24"/>
        </w:rPr>
        <w:tab/>
      </w:r>
      <w:r>
        <w:rPr>
          <w:szCs w:val="24"/>
        </w:rPr>
        <w:tab/>
      </w:r>
      <w:r>
        <w:rPr>
          <w:szCs w:val="24"/>
        </w:rPr>
        <w:tab/>
      </w:r>
      <w:r>
        <w:rPr>
          <w:szCs w:val="24"/>
        </w:rPr>
        <w:tab/>
      </w:r>
      <w:r>
        <w:rPr>
          <w:szCs w:val="24"/>
        </w:rPr>
        <w:tab/>
      </w:r>
      <w:r>
        <w:rPr>
          <w:szCs w:val="24"/>
        </w:rPr>
        <w:tab/>
      </w:r>
      <w:r w:rsidRPr="00280E5C">
        <w:rPr>
          <w:szCs w:val="24"/>
        </w:rPr>
        <w:t xml:space="preserve">Division Director </w:t>
      </w:r>
    </w:p>
    <w:p w14:paraId="64205481" w14:textId="77777777" w:rsidR="00010D0C" w:rsidRPr="00280E5C" w:rsidRDefault="00010D0C" w:rsidP="00010D0C">
      <w:pPr>
        <w:rPr>
          <w:szCs w:val="24"/>
        </w:rPr>
      </w:pPr>
    </w:p>
    <w:p w14:paraId="4756B5B3" w14:textId="406F9FA7" w:rsidR="00010D0C" w:rsidRDefault="00010D0C" w:rsidP="00010D0C">
      <w:pPr>
        <w:pStyle w:val="Normaldouble"/>
        <w:spacing w:line="240" w:lineRule="auto"/>
        <w:jc w:val="left"/>
      </w:pPr>
      <w:r>
        <w:tab/>
      </w:r>
      <w:r>
        <w:tab/>
      </w:r>
      <w:r>
        <w:tab/>
      </w:r>
      <w:r>
        <w:tab/>
      </w:r>
      <w:r>
        <w:tab/>
      </w:r>
      <w:r>
        <w:tab/>
      </w:r>
      <w:r w:rsidR="00D1286B">
        <w:t>Rashmin J. Asher</w:t>
      </w:r>
    </w:p>
    <w:p w14:paraId="64856FE3" w14:textId="77777777" w:rsidR="00010D0C" w:rsidRDefault="00010D0C" w:rsidP="00010D0C">
      <w:pPr>
        <w:pStyle w:val="Normaldouble"/>
        <w:spacing w:line="240" w:lineRule="auto"/>
        <w:jc w:val="left"/>
      </w:pPr>
      <w:r>
        <w:tab/>
      </w:r>
      <w:r>
        <w:tab/>
      </w:r>
      <w:r>
        <w:tab/>
      </w:r>
      <w:r>
        <w:tab/>
      </w:r>
      <w:r>
        <w:tab/>
      </w:r>
      <w:r>
        <w:tab/>
        <w:t>Managing Attorney</w:t>
      </w:r>
    </w:p>
    <w:p w14:paraId="6E224BD3" w14:textId="154C9187" w:rsidR="00010D0C" w:rsidRDefault="00010D0C" w:rsidP="00010D0C">
      <w:pPr>
        <w:pStyle w:val="Normaldouble"/>
        <w:spacing w:line="240" w:lineRule="auto"/>
      </w:pPr>
    </w:p>
    <w:p w14:paraId="3577A2F0" w14:textId="77777777" w:rsidR="00D1286B" w:rsidRDefault="00D1286B" w:rsidP="00010D0C">
      <w:pPr>
        <w:pStyle w:val="Normaldouble"/>
        <w:spacing w:line="240" w:lineRule="auto"/>
      </w:pPr>
    </w:p>
    <w:p w14:paraId="678DEF7C" w14:textId="503194A4" w:rsidR="00245738" w:rsidRDefault="00F87444" w:rsidP="00245738">
      <w:pPr>
        <w:ind w:left="4320"/>
      </w:pPr>
      <w:r>
        <w:rPr>
          <w:u w:val="single"/>
        </w:rPr>
        <w:t>/s/Courtney Dean</w:t>
      </w:r>
      <w:r>
        <w:t>______________</w:t>
      </w:r>
    </w:p>
    <w:p w14:paraId="4B294B8D" w14:textId="77777777" w:rsidR="00245738" w:rsidRDefault="00245738" w:rsidP="00245738">
      <w:pPr>
        <w:pStyle w:val="Normaldouble"/>
        <w:spacing w:line="240" w:lineRule="auto"/>
      </w:pPr>
      <w:r>
        <w:tab/>
      </w:r>
      <w:r>
        <w:tab/>
      </w:r>
      <w:r>
        <w:tab/>
      </w:r>
      <w:r>
        <w:tab/>
      </w:r>
      <w:r w:rsidRPr="00444CEE">
        <w:rPr>
          <w:rFonts w:eastAsia="Calibri"/>
          <w:szCs w:val="24"/>
        </w:rPr>
        <w:tab/>
      </w:r>
      <w:r w:rsidRPr="00444CEE">
        <w:rPr>
          <w:rFonts w:eastAsia="Calibri"/>
          <w:szCs w:val="24"/>
        </w:rPr>
        <w:tab/>
      </w:r>
      <w:r>
        <w:rPr>
          <w:szCs w:val="24"/>
        </w:rPr>
        <w:t>Courtney N. Dean</w:t>
      </w:r>
    </w:p>
    <w:p w14:paraId="0A444275" w14:textId="77777777" w:rsidR="00245738" w:rsidRDefault="00245738" w:rsidP="00245738">
      <w:pPr>
        <w:pStyle w:val="Normaldouble"/>
        <w:spacing w:line="240" w:lineRule="auto"/>
      </w:pPr>
      <w:r>
        <w:tab/>
      </w:r>
      <w:r>
        <w:tab/>
      </w:r>
      <w:r>
        <w:tab/>
      </w:r>
      <w:r>
        <w:tab/>
      </w:r>
      <w:r>
        <w:tab/>
      </w:r>
      <w:r>
        <w:tab/>
        <w:t>State Bar No. 24116269</w:t>
      </w:r>
    </w:p>
    <w:p w14:paraId="77B63AFF" w14:textId="77777777" w:rsidR="00245738" w:rsidRDefault="00245738" w:rsidP="00245738">
      <w:pPr>
        <w:pStyle w:val="Normaldouble"/>
        <w:spacing w:line="240" w:lineRule="auto"/>
      </w:pPr>
      <w:r>
        <w:tab/>
      </w:r>
      <w:r>
        <w:tab/>
      </w:r>
      <w:r>
        <w:tab/>
      </w:r>
      <w:r>
        <w:tab/>
      </w:r>
      <w:r>
        <w:tab/>
      </w:r>
      <w:r>
        <w:tab/>
        <w:t>1701 N. Congress Avenue</w:t>
      </w:r>
    </w:p>
    <w:p w14:paraId="25024731" w14:textId="77777777" w:rsidR="00245738" w:rsidRDefault="00245738" w:rsidP="00245738">
      <w:pPr>
        <w:pStyle w:val="Normaldouble"/>
        <w:spacing w:line="240" w:lineRule="auto"/>
      </w:pPr>
      <w:r>
        <w:tab/>
      </w:r>
      <w:r>
        <w:tab/>
      </w:r>
      <w:r>
        <w:tab/>
      </w:r>
      <w:r>
        <w:tab/>
      </w:r>
      <w:r>
        <w:tab/>
      </w:r>
      <w:r>
        <w:tab/>
        <w:t>P.O. Box 13326</w:t>
      </w:r>
    </w:p>
    <w:p w14:paraId="6371F4B2" w14:textId="77777777" w:rsidR="00245738" w:rsidRDefault="00245738" w:rsidP="00245738">
      <w:pPr>
        <w:pStyle w:val="Normaldouble"/>
        <w:spacing w:line="240" w:lineRule="auto"/>
      </w:pPr>
      <w:r>
        <w:tab/>
      </w:r>
      <w:r>
        <w:tab/>
      </w:r>
      <w:r>
        <w:tab/>
      </w:r>
      <w:r>
        <w:tab/>
      </w:r>
      <w:r>
        <w:tab/>
      </w:r>
      <w:r>
        <w:tab/>
        <w:t>Austin, Texas 78711-3326</w:t>
      </w:r>
    </w:p>
    <w:p w14:paraId="25C53EF6" w14:textId="77777777" w:rsidR="00245738" w:rsidRDefault="00245738" w:rsidP="00245738">
      <w:pPr>
        <w:pStyle w:val="Normaldouble"/>
        <w:spacing w:line="240" w:lineRule="auto"/>
      </w:pPr>
      <w:r>
        <w:tab/>
      </w:r>
      <w:r>
        <w:tab/>
      </w:r>
      <w:r>
        <w:tab/>
      </w:r>
      <w:r>
        <w:tab/>
      </w:r>
      <w:r>
        <w:tab/>
      </w:r>
      <w:r>
        <w:tab/>
        <w:t>(512) 936-7235</w:t>
      </w:r>
    </w:p>
    <w:p w14:paraId="1B0D253B" w14:textId="77777777" w:rsidR="00245738" w:rsidRDefault="00245738" w:rsidP="00245738">
      <w:pPr>
        <w:pStyle w:val="Normaldouble"/>
        <w:spacing w:line="240" w:lineRule="auto"/>
      </w:pPr>
      <w:r>
        <w:tab/>
      </w:r>
      <w:r>
        <w:tab/>
      </w:r>
      <w:r>
        <w:tab/>
      </w:r>
      <w:r>
        <w:tab/>
      </w:r>
      <w:r>
        <w:tab/>
      </w:r>
      <w:r>
        <w:tab/>
        <w:t>(512) 936-7268 (facsimile)</w:t>
      </w:r>
    </w:p>
    <w:p w14:paraId="625A154F" w14:textId="77777777" w:rsidR="00245738" w:rsidRDefault="00245738" w:rsidP="00245738">
      <w:pPr>
        <w:pStyle w:val="Normaldouble"/>
        <w:spacing w:line="240" w:lineRule="auto"/>
      </w:pPr>
      <w:r>
        <w:tab/>
      </w:r>
      <w:r>
        <w:tab/>
      </w:r>
      <w:r>
        <w:tab/>
      </w:r>
      <w:r>
        <w:tab/>
      </w:r>
      <w:r>
        <w:tab/>
      </w:r>
      <w:r>
        <w:tab/>
        <w:t>courtney.dean@puc.texas.gov</w:t>
      </w:r>
    </w:p>
    <w:p w14:paraId="429C0048" w14:textId="77777777" w:rsidR="00010D0C" w:rsidRDefault="00010D0C" w:rsidP="00010D0C">
      <w:pPr>
        <w:pStyle w:val="Normaldouble"/>
        <w:spacing w:line="240" w:lineRule="auto"/>
        <w:rPr>
          <w:szCs w:val="24"/>
        </w:rPr>
      </w:pPr>
    </w:p>
    <w:p w14:paraId="75C398AE" w14:textId="77777777" w:rsidR="00010D0C" w:rsidRDefault="00010D0C" w:rsidP="00010D0C">
      <w:pPr>
        <w:pStyle w:val="Docketnumber"/>
        <w:rPr>
          <w:sz w:val="24"/>
          <w:szCs w:val="24"/>
        </w:rPr>
      </w:pPr>
    </w:p>
    <w:p w14:paraId="4801FB47" w14:textId="77777777" w:rsidR="00D81853" w:rsidRPr="00D81853" w:rsidRDefault="00D81853" w:rsidP="00D81853">
      <w:pPr>
        <w:jc w:val="center"/>
        <w:rPr>
          <w:b/>
          <w:bCs/>
        </w:rPr>
      </w:pPr>
      <w:r w:rsidRPr="00D81853">
        <w:rPr>
          <w:b/>
          <w:bCs/>
        </w:rPr>
        <w:t xml:space="preserve">SOAH DOCKET NO. 473-21-2424 </w:t>
      </w:r>
    </w:p>
    <w:p w14:paraId="6BC532D6" w14:textId="3443B296" w:rsidR="006F05E1" w:rsidRPr="00D81853" w:rsidRDefault="00D81853" w:rsidP="00D81853">
      <w:pPr>
        <w:jc w:val="center"/>
        <w:rPr>
          <w:b/>
          <w:bCs/>
        </w:rPr>
      </w:pPr>
      <w:r w:rsidRPr="00D81853">
        <w:rPr>
          <w:b/>
          <w:bCs/>
        </w:rPr>
        <w:t>PUC DOCKET NO. 52067</w:t>
      </w:r>
    </w:p>
    <w:p w14:paraId="2030ED44" w14:textId="77777777" w:rsidR="00CF6403" w:rsidRPr="009B1D35" w:rsidRDefault="00CF6403" w:rsidP="006F05E1">
      <w:pPr>
        <w:pStyle w:val="Docketnumber"/>
        <w:rPr>
          <w:sz w:val="24"/>
          <w:szCs w:val="24"/>
        </w:rPr>
      </w:pPr>
    </w:p>
    <w:p w14:paraId="073C1DAD" w14:textId="77777777" w:rsidR="00010D0C" w:rsidRDefault="00010D0C" w:rsidP="00010D0C">
      <w:pPr>
        <w:keepNext/>
        <w:jc w:val="center"/>
        <w:rPr>
          <w:b/>
          <w:szCs w:val="24"/>
        </w:rPr>
      </w:pPr>
      <w:r>
        <w:rPr>
          <w:b/>
          <w:szCs w:val="24"/>
        </w:rPr>
        <w:t>CERTIFICATE OF SERVICE</w:t>
      </w:r>
    </w:p>
    <w:p w14:paraId="284B38E9" w14:textId="77777777" w:rsidR="00010D0C" w:rsidRDefault="00010D0C" w:rsidP="00010D0C">
      <w:pPr>
        <w:keepNext/>
        <w:jc w:val="center"/>
        <w:rPr>
          <w:b/>
          <w:szCs w:val="24"/>
        </w:rPr>
      </w:pPr>
    </w:p>
    <w:p w14:paraId="10748153" w14:textId="47FBD785" w:rsidR="00CF6403" w:rsidRPr="00C7046C" w:rsidRDefault="00CF6403" w:rsidP="00CF6403">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993573">
        <w:rPr>
          <w:noProof/>
          <w:szCs w:val="24"/>
        </w:rPr>
        <w:t>August 10, 2021</w:t>
      </w:r>
      <w:r w:rsidRPr="007C5B4F">
        <w:rPr>
          <w:szCs w:val="24"/>
        </w:rPr>
        <w:fldChar w:fldCharType="end"/>
      </w:r>
      <w:r w:rsidR="00CE7CD4">
        <w:rPr>
          <w:szCs w:val="24"/>
        </w:rPr>
        <w:t>,</w:t>
      </w:r>
      <w:r w:rsidRPr="00611321">
        <w:t xml:space="preserve"> in accordance with the Order Suspending Rules </w:t>
      </w:r>
      <w:r>
        <w:t>filed</w:t>
      </w:r>
      <w:r w:rsidRPr="00611321">
        <w:t xml:space="preserve"> in </w:t>
      </w:r>
      <w:r>
        <w:t>Project</w:t>
      </w:r>
      <w:r w:rsidRPr="00611321">
        <w:t xml:space="preserve"> No. 50664</w:t>
      </w:r>
      <w:r>
        <w:rPr>
          <w:rFonts w:eastAsia="Calibri"/>
        </w:rPr>
        <w:t>.</w:t>
      </w:r>
    </w:p>
    <w:p w14:paraId="037D4F4E" w14:textId="77777777" w:rsidR="00010D0C" w:rsidRDefault="00010D0C" w:rsidP="00010D0C">
      <w:pPr>
        <w:spacing w:line="360" w:lineRule="auto"/>
        <w:ind w:firstLine="720"/>
      </w:pPr>
    </w:p>
    <w:p w14:paraId="79580C65" w14:textId="7961024F" w:rsidR="00010D0C" w:rsidRDefault="00F87444" w:rsidP="00010D0C">
      <w:pPr>
        <w:keepNext/>
        <w:ind w:left="3600" w:firstLine="720"/>
        <w:rPr>
          <w:szCs w:val="24"/>
        </w:rPr>
      </w:pPr>
      <w:r>
        <w:rPr>
          <w:u w:val="single"/>
        </w:rPr>
        <w:t>/s/Courtney Dean</w:t>
      </w:r>
      <w:r>
        <w:t>________________</w:t>
      </w:r>
    </w:p>
    <w:p w14:paraId="3AA1EEA1" w14:textId="2E2B57FB" w:rsidR="00F337CC" w:rsidRPr="008860E9" w:rsidRDefault="000D18B3" w:rsidP="00DF4672">
      <w:pPr>
        <w:rPr>
          <w:rFonts w:eastAsia="Calibri"/>
          <w:szCs w:val="24"/>
        </w:rPr>
      </w:pPr>
      <w:r>
        <w:tab/>
      </w:r>
      <w:r>
        <w:tab/>
      </w:r>
      <w:r>
        <w:tab/>
      </w:r>
      <w:r>
        <w:tab/>
      </w:r>
      <w:r>
        <w:tab/>
      </w:r>
      <w:r>
        <w:tab/>
      </w:r>
      <w:r w:rsidR="00CF6403">
        <w:t>Courtney N. Dean</w:t>
      </w:r>
    </w:p>
    <w:sectPr w:rsidR="00F337CC" w:rsidRPr="008860E9" w:rsidSect="00346A1E">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D3A63F" w14:textId="77777777" w:rsidR="006963F9" w:rsidRDefault="006963F9">
      <w:r>
        <w:separator/>
      </w:r>
    </w:p>
  </w:endnote>
  <w:endnote w:type="continuationSeparator" w:id="0">
    <w:p w14:paraId="1E508172" w14:textId="77777777" w:rsidR="006963F9" w:rsidRDefault="00696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AAACD" w14:textId="77777777" w:rsidR="00396766" w:rsidRDefault="0039676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B7768E" w14:textId="77777777" w:rsidR="00396766" w:rsidRDefault="0039676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7D7B9" w14:textId="77777777" w:rsidR="00396766" w:rsidRDefault="00396766" w:rsidP="009B61E3">
    <w:pPr>
      <w:pStyle w:val="Footer"/>
      <w:framePr w:wrap="around" w:vAnchor="text" w:hAnchor="page" w:x="1702" w:y="61"/>
      <w:rPr>
        <w:rStyle w:val="PageNumber"/>
      </w:rPr>
    </w:pPr>
    <w:r>
      <w:tab/>
      <w:t xml:space="preserve">Page </w:t>
    </w:r>
    <w:r>
      <w:fldChar w:fldCharType="begin"/>
    </w:r>
    <w:r>
      <w:instrText xml:space="preserve"> PAGE </w:instrText>
    </w:r>
    <w:r>
      <w:fldChar w:fldCharType="separate"/>
    </w:r>
    <w:r>
      <w:rPr>
        <w:noProof/>
      </w:rPr>
      <w:t>5</w:t>
    </w:r>
    <w:r>
      <w:rPr>
        <w:noProof/>
      </w:rPr>
      <w:fldChar w:fldCharType="end"/>
    </w:r>
    <w:r>
      <w:t xml:space="preserve"> of </w:t>
    </w:r>
    <w:fldSimple w:instr=" NUMPAGES ">
      <w:r>
        <w:rPr>
          <w:noProof/>
        </w:rPr>
        <w:t>5</w:t>
      </w:r>
    </w:fldSimple>
  </w:p>
  <w:p w14:paraId="10CB8DD5" w14:textId="77777777" w:rsidR="00396766" w:rsidRDefault="00396766"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43A90" w14:textId="77777777" w:rsidR="006963F9" w:rsidRDefault="006963F9">
      <w:r>
        <w:separator/>
      </w:r>
    </w:p>
  </w:footnote>
  <w:footnote w:type="continuationSeparator" w:id="0">
    <w:p w14:paraId="68AC5B80" w14:textId="77777777" w:rsidR="006963F9" w:rsidRDefault="006963F9">
      <w:r>
        <w:continuationSeparator/>
      </w:r>
    </w:p>
  </w:footnote>
  <w:footnote w:id="1">
    <w:p w14:paraId="4570DADE" w14:textId="592B4895" w:rsidR="00E97204" w:rsidRDefault="002D1FCF">
      <w:pPr>
        <w:pStyle w:val="FootnoteText"/>
      </w:pPr>
      <w:r>
        <w:tab/>
      </w:r>
      <w:r w:rsidR="00E97204">
        <w:rPr>
          <w:rStyle w:val="FootnoteReference"/>
        </w:rPr>
        <w:footnoteRef/>
      </w:r>
      <w:r w:rsidR="00E97204">
        <w:t xml:space="preserve"> </w:t>
      </w:r>
      <w:r w:rsidRPr="00DF4672">
        <w:rPr>
          <w:i/>
          <w:iCs/>
        </w:rPr>
        <w:t>Application of El Paso Electric Company to Adjust its Energy Efficiency Cost Recovery Factor and Establish Revised Cost Cap</w:t>
      </w:r>
      <w:r>
        <w:t>, Docket No. 48332, Final Order at Findings of Fact No. 42 and 42A, Conclusion of Law No. 9 (Jan. 17, 2019).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DF6BD3"/>
    <w:multiLevelType w:val="hybridMultilevel"/>
    <w:tmpl w:val="9048B8A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57C6A"/>
    <w:multiLevelType w:val="hybridMultilevel"/>
    <w:tmpl w:val="A65E0A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014478"/>
    <w:multiLevelType w:val="hybridMultilevel"/>
    <w:tmpl w:val="DB6A299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7217CFD"/>
    <w:multiLevelType w:val="hybridMultilevel"/>
    <w:tmpl w:val="91D66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122B7"/>
    <w:multiLevelType w:val="hybridMultilevel"/>
    <w:tmpl w:val="5162B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5F73BC"/>
    <w:multiLevelType w:val="hybridMultilevel"/>
    <w:tmpl w:val="6222226A"/>
    <w:lvl w:ilvl="0" w:tplc="FBC685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8433E1E"/>
    <w:multiLevelType w:val="hybridMultilevel"/>
    <w:tmpl w:val="4AA29FF6"/>
    <w:lvl w:ilvl="0" w:tplc="A760BD9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2E112B"/>
    <w:multiLevelType w:val="hybridMultilevel"/>
    <w:tmpl w:val="B2785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DF56A4"/>
    <w:multiLevelType w:val="hybridMultilevel"/>
    <w:tmpl w:val="75BC4482"/>
    <w:lvl w:ilvl="0" w:tplc="8674890C">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6023BFD"/>
    <w:multiLevelType w:val="hybridMultilevel"/>
    <w:tmpl w:val="9B442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34510C"/>
    <w:multiLevelType w:val="hybridMultilevel"/>
    <w:tmpl w:val="1EEC8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D926D5"/>
    <w:multiLevelType w:val="hybridMultilevel"/>
    <w:tmpl w:val="44F49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233158"/>
    <w:multiLevelType w:val="hybridMultilevel"/>
    <w:tmpl w:val="7DB890E0"/>
    <w:lvl w:ilvl="0" w:tplc="549EA45C">
      <w:start w:val="1"/>
      <w:numFmt w:val="lowerLetter"/>
      <w:lvlText w:val="%1)"/>
      <w:lvlJc w:val="left"/>
      <w:pPr>
        <w:ind w:left="1800" w:hanging="360"/>
      </w:pPr>
      <w:rPr>
        <w:rFonts w:hint="default"/>
        <w:b w:val="0"/>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47547B1"/>
    <w:multiLevelType w:val="hybridMultilevel"/>
    <w:tmpl w:val="1B96C9FC"/>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C97A05"/>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6479FC"/>
    <w:multiLevelType w:val="hybridMultilevel"/>
    <w:tmpl w:val="5D586FA6"/>
    <w:lvl w:ilvl="0" w:tplc="F3E6738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60990F63"/>
    <w:multiLevelType w:val="hybridMultilevel"/>
    <w:tmpl w:val="D18CA6AC"/>
    <w:lvl w:ilvl="0" w:tplc="0106AA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0D1678"/>
    <w:multiLevelType w:val="hybridMultilevel"/>
    <w:tmpl w:val="6BD8BB96"/>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EF6184"/>
    <w:multiLevelType w:val="hybridMultilevel"/>
    <w:tmpl w:val="5EAA2CE6"/>
    <w:lvl w:ilvl="0" w:tplc="77D461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6EF4562A"/>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A21331"/>
    <w:multiLevelType w:val="hybridMultilevel"/>
    <w:tmpl w:val="E9CA7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FA4342"/>
    <w:multiLevelType w:val="hybridMultilevel"/>
    <w:tmpl w:val="F28C7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2D3689A"/>
    <w:multiLevelType w:val="hybridMultilevel"/>
    <w:tmpl w:val="640451CA"/>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26" w15:restartNumberingAfterBreak="0">
    <w:nsid w:val="74802C70"/>
    <w:multiLevelType w:val="hybridMultilevel"/>
    <w:tmpl w:val="20386AAC"/>
    <w:lvl w:ilvl="0" w:tplc="E480ABC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D05D1F"/>
    <w:multiLevelType w:val="hybridMultilevel"/>
    <w:tmpl w:val="95626A48"/>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B942C9"/>
    <w:multiLevelType w:val="hybridMultilevel"/>
    <w:tmpl w:val="AC363DD0"/>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4"/>
  </w:num>
  <w:num w:numId="2">
    <w:abstractNumId w:val="25"/>
  </w:num>
  <w:num w:numId="3">
    <w:abstractNumId w:val="0"/>
  </w:num>
  <w:num w:numId="4">
    <w:abstractNumId w:val="24"/>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6"/>
  </w:num>
  <w:num w:numId="9">
    <w:abstractNumId w:val="7"/>
  </w:num>
  <w:num w:numId="10">
    <w:abstractNumId w:val="27"/>
  </w:num>
  <w:num w:numId="11">
    <w:abstractNumId w:val="16"/>
  </w:num>
  <w:num w:numId="12">
    <w:abstractNumId w:val="15"/>
  </w:num>
  <w:num w:numId="13">
    <w:abstractNumId w:val="3"/>
  </w:num>
  <w:num w:numId="14">
    <w:abstractNumId w:val="19"/>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num>
  <w:num w:numId="18">
    <w:abstractNumId w:val="23"/>
  </w:num>
  <w:num w:numId="19">
    <w:abstractNumId w:val="4"/>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8"/>
  </w:num>
  <w:num w:numId="23">
    <w:abstractNumId w:val="9"/>
  </w:num>
  <w:num w:numId="24">
    <w:abstractNumId w:val="13"/>
  </w:num>
  <w:num w:numId="25">
    <w:abstractNumId w:val="28"/>
  </w:num>
  <w:num w:numId="26">
    <w:abstractNumId w:val="17"/>
  </w:num>
  <w:num w:numId="27">
    <w:abstractNumId w:val="2"/>
  </w:num>
  <w:num w:numId="28">
    <w:abstractNumId w:val="12"/>
  </w:num>
  <w:num w:numId="29">
    <w:abstractNumId w:val="10"/>
  </w:num>
  <w:num w:numId="30">
    <w:abstractNumId w:val="1"/>
  </w:num>
  <w:num w:numId="3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107F"/>
    <w:rsid w:val="00002EFC"/>
    <w:rsid w:val="000038EE"/>
    <w:rsid w:val="00003AC2"/>
    <w:rsid w:val="00003FE4"/>
    <w:rsid w:val="00005B6C"/>
    <w:rsid w:val="00006869"/>
    <w:rsid w:val="00010CAF"/>
    <w:rsid w:val="00010D0C"/>
    <w:rsid w:val="000134BB"/>
    <w:rsid w:val="00015160"/>
    <w:rsid w:val="000233F8"/>
    <w:rsid w:val="0002600C"/>
    <w:rsid w:val="00027081"/>
    <w:rsid w:val="00027A2C"/>
    <w:rsid w:val="000339FE"/>
    <w:rsid w:val="00034BB1"/>
    <w:rsid w:val="0003500E"/>
    <w:rsid w:val="00036C31"/>
    <w:rsid w:val="000403C0"/>
    <w:rsid w:val="0004538B"/>
    <w:rsid w:val="000471DC"/>
    <w:rsid w:val="00050EC3"/>
    <w:rsid w:val="000552CF"/>
    <w:rsid w:val="0005581B"/>
    <w:rsid w:val="000618E6"/>
    <w:rsid w:val="000621BB"/>
    <w:rsid w:val="0006369C"/>
    <w:rsid w:val="000638C4"/>
    <w:rsid w:val="00065A3A"/>
    <w:rsid w:val="0006677D"/>
    <w:rsid w:val="000705D5"/>
    <w:rsid w:val="00073EFE"/>
    <w:rsid w:val="00074A52"/>
    <w:rsid w:val="0007629E"/>
    <w:rsid w:val="000767DB"/>
    <w:rsid w:val="000814DA"/>
    <w:rsid w:val="000857EC"/>
    <w:rsid w:val="00092B02"/>
    <w:rsid w:val="0009361B"/>
    <w:rsid w:val="0009426E"/>
    <w:rsid w:val="00094D6D"/>
    <w:rsid w:val="00095583"/>
    <w:rsid w:val="000972FD"/>
    <w:rsid w:val="000A0AEB"/>
    <w:rsid w:val="000A1203"/>
    <w:rsid w:val="000B10C9"/>
    <w:rsid w:val="000B163B"/>
    <w:rsid w:val="000B1812"/>
    <w:rsid w:val="000B3226"/>
    <w:rsid w:val="000B524E"/>
    <w:rsid w:val="000B5284"/>
    <w:rsid w:val="000C4031"/>
    <w:rsid w:val="000C6200"/>
    <w:rsid w:val="000C6AF9"/>
    <w:rsid w:val="000C749D"/>
    <w:rsid w:val="000C7F1B"/>
    <w:rsid w:val="000D042D"/>
    <w:rsid w:val="000D18B3"/>
    <w:rsid w:val="000D20CB"/>
    <w:rsid w:val="000D3CDD"/>
    <w:rsid w:val="000D5F63"/>
    <w:rsid w:val="000D696A"/>
    <w:rsid w:val="000D6DDE"/>
    <w:rsid w:val="000E15A7"/>
    <w:rsid w:val="000E26FE"/>
    <w:rsid w:val="000E272E"/>
    <w:rsid w:val="000E5F22"/>
    <w:rsid w:val="000E6961"/>
    <w:rsid w:val="000F1B5D"/>
    <w:rsid w:val="000F1F40"/>
    <w:rsid w:val="000F6BEB"/>
    <w:rsid w:val="000F7F9C"/>
    <w:rsid w:val="00101E09"/>
    <w:rsid w:val="00101E9A"/>
    <w:rsid w:val="0010377D"/>
    <w:rsid w:val="00104BD4"/>
    <w:rsid w:val="001055B5"/>
    <w:rsid w:val="001111CA"/>
    <w:rsid w:val="00113A23"/>
    <w:rsid w:val="001159E1"/>
    <w:rsid w:val="001171A2"/>
    <w:rsid w:val="00117ED8"/>
    <w:rsid w:val="00122C66"/>
    <w:rsid w:val="00122DC1"/>
    <w:rsid w:val="001242EB"/>
    <w:rsid w:val="00127224"/>
    <w:rsid w:val="00127BEE"/>
    <w:rsid w:val="00132C88"/>
    <w:rsid w:val="001347B7"/>
    <w:rsid w:val="001370E3"/>
    <w:rsid w:val="00137DD5"/>
    <w:rsid w:val="00143BAC"/>
    <w:rsid w:val="00143DBB"/>
    <w:rsid w:val="00144E84"/>
    <w:rsid w:val="001455E9"/>
    <w:rsid w:val="00147053"/>
    <w:rsid w:val="00151409"/>
    <w:rsid w:val="00152E43"/>
    <w:rsid w:val="0015465A"/>
    <w:rsid w:val="00162210"/>
    <w:rsid w:val="001632FA"/>
    <w:rsid w:val="00164113"/>
    <w:rsid w:val="00166EF5"/>
    <w:rsid w:val="0016707F"/>
    <w:rsid w:val="00167865"/>
    <w:rsid w:val="00167B9A"/>
    <w:rsid w:val="00170C23"/>
    <w:rsid w:val="001711C0"/>
    <w:rsid w:val="00171A77"/>
    <w:rsid w:val="0017204A"/>
    <w:rsid w:val="00172793"/>
    <w:rsid w:val="001750B5"/>
    <w:rsid w:val="00175B71"/>
    <w:rsid w:val="00175E2D"/>
    <w:rsid w:val="00176D68"/>
    <w:rsid w:val="001838CD"/>
    <w:rsid w:val="00190A3F"/>
    <w:rsid w:val="00190BC4"/>
    <w:rsid w:val="00194337"/>
    <w:rsid w:val="00197531"/>
    <w:rsid w:val="001A12AF"/>
    <w:rsid w:val="001A2D16"/>
    <w:rsid w:val="001A357D"/>
    <w:rsid w:val="001A387A"/>
    <w:rsid w:val="001A7DBE"/>
    <w:rsid w:val="001B0D9A"/>
    <w:rsid w:val="001B2337"/>
    <w:rsid w:val="001B2817"/>
    <w:rsid w:val="001B3DC3"/>
    <w:rsid w:val="001B725A"/>
    <w:rsid w:val="001C0187"/>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58F8"/>
    <w:rsid w:val="001D6A60"/>
    <w:rsid w:val="001D6A6C"/>
    <w:rsid w:val="001E0547"/>
    <w:rsid w:val="001E0772"/>
    <w:rsid w:val="001E1E75"/>
    <w:rsid w:val="001E3F4B"/>
    <w:rsid w:val="001E55D1"/>
    <w:rsid w:val="001E7425"/>
    <w:rsid w:val="001E776E"/>
    <w:rsid w:val="001F5FDD"/>
    <w:rsid w:val="00201516"/>
    <w:rsid w:val="0020175E"/>
    <w:rsid w:val="00201C44"/>
    <w:rsid w:val="0020243D"/>
    <w:rsid w:val="00202D52"/>
    <w:rsid w:val="0020415E"/>
    <w:rsid w:val="0020473E"/>
    <w:rsid w:val="002069D8"/>
    <w:rsid w:val="00207E65"/>
    <w:rsid w:val="0021211B"/>
    <w:rsid w:val="0021567A"/>
    <w:rsid w:val="00216348"/>
    <w:rsid w:val="00217977"/>
    <w:rsid w:val="00220773"/>
    <w:rsid w:val="0022173D"/>
    <w:rsid w:val="002222D3"/>
    <w:rsid w:val="002241EF"/>
    <w:rsid w:val="002242EE"/>
    <w:rsid w:val="00224F80"/>
    <w:rsid w:val="00226C69"/>
    <w:rsid w:val="00227044"/>
    <w:rsid w:val="002274DF"/>
    <w:rsid w:val="002303EB"/>
    <w:rsid w:val="00230417"/>
    <w:rsid w:val="0023091D"/>
    <w:rsid w:val="002329B6"/>
    <w:rsid w:val="00232BA2"/>
    <w:rsid w:val="00235C4C"/>
    <w:rsid w:val="0023775E"/>
    <w:rsid w:val="0024377E"/>
    <w:rsid w:val="00245738"/>
    <w:rsid w:val="00245E5D"/>
    <w:rsid w:val="00247F89"/>
    <w:rsid w:val="002523BD"/>
    <w:rsid w:val="00252D16"/>
    <w:rsid w:val="00253115"/>
    <w:rsid w:val="00253FE6"/>
    <w:rsid w:val="00254788"/>
    <w:rsid w:val="00256078"/>
    <w:rsid w:val="0025700B"/>
    <w:rsid w:val="002638FD"/>
    <w:rsid w:val="002645EF"/>
    <w:rsid w:val="00267DF4"/>
    <w:rsid w:val="00270C7B"/>
    <w:rsid w:val="00271524"/>
    <w:rsid w:val="00272208"/>
    <w:rsid w:val="0027456D"/>
    <w:rsid w:val="00274D9F"/>
    <w:rsid w:val="0028057F"/>
    <w:rsid w:val="00283F39"/>
    <w:rsid w:val="00285227"/>
    <w:rsid w:val="00285A49"/>
    <w:rsid w:val="00286B1A"/>
    <w:rsid w:val="00286D26"/>
    <w:rsid w:val="0029005F"/>
    <w:rsid w:val="002915FD"/>
    <w:rsid w:val="00296BA8"/>
    <w:rsid w:val="002A0045"/>
    <w:rsid w:val="002A02D8"/>
    <w:rsid w:val="002A4485"/>
    <w:rsid w:val="002A4C69"/>
    <w:rsid w:val="002B0B47"/>
    <w:rsid w:val="002B3150"/>
    <w:rsid w:val="002B31AA"/>
    <w:rsid w:val="002B3A6C"/>
    <w:rsid w:val="002B4153"/>
    <w:rsid w:val="002B533B"/>
    <w:rsid w:val="002B55E2"/>
    <w:rsid w:val="002B7E74"/>
    <w:rsid w:val="002C263C"/>
    <w:rsid w:val="002C3485"/>
    <w:rsid w:val="002C4B79"/>
    <w:rsid w:val="002C4C90"/>
    <w:rsid w:val="002C4C99"/>
    <w:rsid w:val="002C508F"/>
    <w:rsid w:val="002C5D86"/>
    <w:rsid w:val="002C6274"/>
    <w:rsid w:val="002D01DE"/>
    <w:rsid w:val="002D170C"/>
    <w:rsid w:val="002D1FCF"/>
    <w:rsid w:val="002D2A59"/>
    <w:rsid w:val="002D3A0A"/>
    <w:rsid w:val="002D3A76"/>
    <w:rsid w:val="002D481E"/>
    <w:rsid w:val="002D543A"/>
    <w:rsid w:val="002E207B"/>
    <w:rsid w:val="002E4202"/>
    <w:rsid w:val="002E45FE"/>
    <w:rsid w:val="002E5382"/>
    <w:rsid w:val="002E749D"/>
    <w:rsid w:val="002F00C6"/>
    <w:rsid w:val="002F08B6"/>
    <w:rsid w:val="002F0FAE"/>
    <w:rsid w:val="002F479D"/>
    <w:rsid w:val="002F5B66"/>
    <w:rsid w:val="002F62F0"/>
    <w:rsid w:val="00301BA8"/>
    <w:rsid w:val="003021A2"/>
    <w:rsid w:val="003033F1"/>
    <w:rsid w:val="00303A45"/>
    <w:rsid w:val="00305298"/>
    <w:rsid w:val="0031328E"/>
    <w:rsid w:val="0031360F"/>
    <w:rsid w:val="00314D0F"/>
    <w:rsid w:val="00332458"/>
    <w:rsid w:val="0033322E"/>
    <w:rsid w:val="0033389D"/>
    <w:rsid w:val="003346A4"/>
    <w:rsid w:val="003353F5"/>
    <w:rsid w:val="00336862"/>
    <w:rsid w:val="00336ACF"/>
    <w:rsid w:val="00336C5C"/>
    <w:rsid w:val="00341854"/>
    <w:rsid w:val="00341CED"/>
    <w:rsid w:val="003431D0"/>
    <w:rsid w:val="0034338C"/>
    <w:rsid w:val="0034338E"/>
    <w:rsid w:val="003455B0"/>
    <w:rsid w:val="00346398"/>
    <w:rsid w:val="00346A1E"/>
    <w:rsid w:val="00350300"/>
    <w:rsid w:val="0035160B"/>
    <w:rsid w:val="00355F5D"/>
    <w:rsid w:val="00357C92"/>
    <w:rsid w:val="003602F6"/>
    <w:rsid w:val="00360A0C"/>
    <w:rsid w:val="00364C0D"/>
    <w:rsid w:val="00364C68"/>
    <w:rsid w:val="00367D9F"/>
    <w:rsid w:val="00370A3A"/>
    <w:rsid w:val="00374091"/>
    <w:rsid w:val="003744AE"/>
    <w:rsid w:val="003751A0"/>
    <w:rsid w:val="00375D7F"/>
    <w:rsid w:val="00375F64"/>
    <w:rsid w:val="0037667C"/>
    <w:rsid w:val="00377388"/>
    <w:rsid w:val="00377703"/>
    <w:rsid w:val="00381A09"/>
    <w:rsid w:val="00384670"/>
    <w:rsid w:val="00384875"/>
    <w:rsid w:val="00384BB8"/>
    <w:rsid w:val="00385ED8"/>
    <w:rsid w:val="003865A0"/>
    <w:rsid w:val="0038660B"/>
    <w:rsid w:val="003871D1"/>
    <w:rsid w:val="00391CAF"/>
    <w:rsid w:val="00393010"/>
    <w:rsid w:val="0039363F"/>
    <w:rsid w:val="00394ED0"/>
    <w:rsid w:val="0039591B"/>
    <w:rsid w:val="00395ED6"/>
    <w:rsid w:val="00396766"/>
    <w:rsid w:val="00397341"/>
    <w:rsid w:val="003A1B53"/>
    <w:rsid w:val="003A2B88"/>
    <w:rsid w:val="003A338C"/>
    <w:rsid w:val="003A35D2"/>
    <w:rsid w:val="003A3CCC"/>
    <w:rsid w:val="003A424B"/>
    <w:rsid w:val="003A53E1"/>
    <w:rsid w:val="003A5943"/>
    <w:rsid w:val="003B1E8B"/>
    <w:rsid w:val="003B6280"/>
    <w:rsid w:val="003B7656"/>
    <w:rsid w:val="003C0C4B"/>
    <w:rsid w:val="003C0E04"/>
    <w:rsid w:val="003C4129"/>
    <w:rsid w:val="003C6393"/>
    <w:rsid w:val="003C68B5"/>
    <w:rsid w:val="003C7C47"/>
    <w:rsid w:val="003D152A"/>
    <w:rsid w:val="003D1D6C"/>
    <w:rsid w:val="003D2C07"/>
    <w:rsid w:val="003D4381"/>
    <w:rsid w:val="003D5322"/>
    <w:rsid w:val="003D6CF6"/>
    <w:rsid w:val="003E1AA5"/>
    <w:rsid w:val="003E5631"/>
    <w:rsid w:val="003E7A59"/>
    <w:rsid w:val="003F3BD4"/>
    <w:rsid w:val="003F43DE"/>
    <w:rsid w:val="003F72A0"/>
    <w:rsid w:val="00403B88"/>
    <w:rsid w:val="00404493"/>
    <w:rsid w:val="00405D8E"/>
    <w:rsid w:val="00406D07"/>
    <w:rsid w:val="0041248F"/>
    <w:rsid w:val="0041642D"/>
    <w:rsid w:val="0041790E"/>
    <w:rsid w:val="00422A05"/>
    <w:rsid w:val="00423664"/>
    <w:rsid w:val="00423A3F"/>
    <w:rsid w:val="004241A1"/>
    <w:rsid w:val="004259C2"/>
    <w:rsid w:val="00425BAF"/>
    <w:rsid w:val="00425C25"/>
    <w:rsid w:val="00425C3F"/>
    <w:rsid w:val="004328CF"/>
    <w:rsid w:val="00433EEA"/>
    <w:rsid w:val="00434247"/>
    <w:rsid w:val="00434C0D"/>
    <w:rsid w:val="00434E97"/>
    <w:rsid w:val="00435780"/>
    <w:rsid w:val="00435C56"/>
    <w:rsid w:val="00436463"/>
    <w:rsid w:val="0043714C"/>
    <w:rsid w:val="00437F13"/>
    <w:rsid w:val="00444FEA"/>
    <w:rsid w:val="00445B96"/>
    <w:rsid w:val="00445D3A"/>
    <w:rsid w:val="004478B0"/>
    <w:rsid w:val="00447F51"/>
    <w:rsid w:val="00450C29"/>
    <w:rsid w:val="00451ADC"/>
    <w:rsid w:val="0045243D"/>
    <w:rsid w:val="004524E5"/>
    <w:rsid w:val="00453B56"/>
    <w:rsid w:val="004540A3"/>
    <w:rsid w:val="004540CD"/>
    <w:rsid w:val="0045609F"/>
    <w:rsid w:val="00456C22"/>
    <w:rsid w:val="0045774A"/>
    <w:rsid w:val="00464A13"/>
    <w:rsid w:val="00466341"/>
    <w:rsid w:val="004666F6"/>
    <w:rsid w:val="004668FF"/>
    <w:rsid w:val="00466FD6"/>
    <w:rsid w:val="00467D68"/>
    <w:rsid w:val="0047200D"/>
    <w:rsid w:val="00472755"/>
    <w:rsid w:val="00472CCD"/>
    <w:rsid w:val="00473309"/>
    <w:rsid w:val="00473325"/>
    <w:rsid w:val="0048077B"/>
    <w:rsid w:val="00483D52"/>
    <w:rsid w:val="00484132"/>
    <w:rsid w:val="00485D02"/>
    <w:rsid w:val="00485D9D"/>
    <w:rsid w:val="00487746"/>
    <w:rsid w:val="004879D8"/>
    <w:rsid w:val="00490341"/>
    <w:rsid w:val="00490A9A"/>
    <w:rsid w:val="0049262E"/>
    <w:rsid w:val="00492C92"/>
    <w:rsid w:val="00492D8D"/>
    <w:rsid w:val="004933EC"/>
    <w:rsid w:val="00493F18"/>
    <w:rsid w:val="00496F0D"/>
    <w:rsid w:val="00497977"/>
    <w:rsid w:val="004A0AC0"/>
    <w:rsid w:val="004A2111"/>
    <w:rsid w:val="004A2438"/>
    <w:rsid w:val="004A25AE"/>
    <w:rsid w:val="004A3EC7"/>
    <w:rsid w:val="004A468F"/>
    <w:rsid w:val="004A4C04"/>
    <w:rsid w:val="004A5861"/>
    <w:rsid w:val="004A679B"/>
    <w:rsid w:val="004B1998"/>
    <w:rsid w:val="004B4A42"/>
    <w:rsid w:val="004B5D5C"/>
    <w:rsid w:val="004B60E6"/>
    <w:rsid w:val="004C2622"/>
    <w:rsid w:val="004C424A"/>
    <w:rsid w:val="004C4866"/>
    <w:rsid w:val="004C5EC9"/>
    <w:rsid w:val="004D20DD"/>
    <w:rsid w:val="004D302B"/>
    <w:rsid w:val="004D5E0E"/>
    <w:rsid w:val="004E0E6B"/>
    <w:rsid w:val="004E170B"/>
    <w:rsid w:val="004E184D"/>
    <w:rsid w:val="004E4207"/>
    <w:rsid w:val="004E5152"/>
    <w:rsid w:val="004E563C"/>
    <w:rsid w:val="004E68D9"/>
    <w:rsid w:val="004F3068"/>
    <w:rsid w:val="004F3113"/>
    <w:rsid w:val="004F6C8C"/>
    <w:rsid w:val="004F706F"/>
    <w:rsid w:val="004F777B"/>
    <w:rsid w:val="005007D9"/>
    <w:rsid w:val="005024E1"/>
    <w:rsid w:val="005030EF"/>
    <w:rsid w:val="00503A6F"/>
    <w:rsid w:val="00507DBE"/>
    <w:rsid w:val="00511727"/>
    <w:rsid w:val="00511872"/>
    <w:rsid w:val="00514963"/>
    <w:rsid w:val="005178AC"/>
    <w:rsid w:val="00517C97"/>
    <w:rsid w:val="005200A8"/>
    <w:rsid w:val="00520FF4"/>
    <w:rsid w:val="005242A3"/>
    <w:rsid w:val="0052613E"/>
    <w:rsid w:val="00526E9B"/>
    <w:rsid w:val="005335ED"/>
    <w:rsid w:val="00535DF6"/>
    <w:rsid w:val="0053656D"/>
    <w:rsid w:val="0054012D"/>
    <w:rsid w:val="0055240E"/>
    <w:rsid w:val="005528A6"/>
    <w:rsid w:val="005534F1"/>
    <w:rsid w:val="00553BD2"/>
    <w:rsid w:val="00555E35"/>
    <w:rsid w:val="00561232"/>
    <w:rsid w:val="005617AE"/>
    <w:rsid w:val="00564401"/>
    <w:rsid w:val="0056632F"/>
    <w:rsid w:val="005664D6"/>
    <w:rsid w:val="005716F2"/>
    <w:rsid w:val="005729DE"/>
    <w:rsid w:val="00572A3A"/>
    <w:rsid w:val="0057620A"/>
    <w:rsid w:val="00576BF3"/>
    <w:rsid w:val="00580EC5"/>
    <w:rsid w:val="00580FBD"/>
    <w:rsid w:val="00582B95"/>
    <w:rsid w:val="00582FD9"/>
    <w:rsid w:val="005834EC"/>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6451"/>
    <w:rsid w:val="005B6597"/>
    <w:rsid w:val="005C5115"/>
    <w:rsid w:val="005C7B20"/>
    <w:rsid w:val="005D0E47"/>
    <w:rsid w:val="005D3E79"/>
    <w:rsid w:val="005D4641"/>
    <w:rsid w:val="005E0F86"/>
    <w:rsid w:val="005E1E69"/>
    <w:rsid w:val="005E2C48"/>
    <w:rsid w:val="005E41EA"/>
    <w:rsid w:val="005E77DC"/>
    <w:rsid w:val="005F09CB"/>
    <w:rsid w:val="005F1497"/>
    <w:rsid w:val="005F1EC8"/>
    <w:rsid w:val="005F3965"/>
    <w:rsid w:val="005F4F7A"/>
    <w:rsid w:val="006017D7"/>
    <w:rsid w:val="006025D7"/>
    <w:rsid w:val="0060359F"/>
    <w:rsid w:val="006036D9"/>
    <w:rsid w:val="0060380E"/>
    <w:rsid w:val="006043AC"/>
    <w:rsid w:val="006045BF"/>
    <w:rsid w:val="006102D3"/>
    <w:rsid w:val="006105A0"/>
    <w:rsid w:val="00612E0D"/>
    <w:rsid w:val="006132D0"/>
    <w:rsid w:val="00615565"/>
    <w:rsid w:val="006157A9"/>
    <w:rsid w:val="006159E0"/>
    <w:rsid w:val="0061677C"/>
    <w:rsid w:val="00616C99"/>
    <w:rsid w:val="0061719F"/>
    <w:rsid w:val="00621AF5"/>
    <w:rsid w:val="00623450"/>
    <w:rsid w:val="006256DB"/>
    <w:rsid w:val="00625DAF"/>
    <w:rsid w:val="00633065"/>
    <w:rsid w:val="00634CD3"/>
    <w:rsid w:val="006368EC"/>
    <w:rsid w:val="00636BD9"/>
    <w:rsid w:val="006412B3"/>
    <w:rsid w:val="0064236D"/>
    <w:rsid w:val="0064292A"/>
    <w:rsid w:val="00642BD0"/>
    <w:rsid w:val="00644E66"/>
    <w:rsid w:val="006470FE"/>
    <w:rsid w:val="00650A71"/>
    <w:rsid w:val="00653360"/>
    <w:rsid w:val="006545EC"/>
    <w:rsid w:val="00655A26"/>
    <w:rsid w:val="00655DD6"/>
    <w:rsid w:val="006570BC"/>
    <w:rsid w:val="00657EB2"/>
    <w:rsid w:val="00662506"/>
    <w:rsid w:val="0066299F"/>
    <w:rsid w:val="00662F0A"/>
    <w:rsid w:val="006639AD"/>
    <w:rsid w:val="006651F5"/>
    <w:rsid w:val="0066794B"/>
    <w:rsid w:val="00672B9B"/>
    <w:rsid w:val="00673CF8"/>
    <w:rsid w:val="006808DC"/>
    <w:rsid w:val="00682DBA"/>
    <w:rsid w:val="0068431E"/>
    <w:rsid w:val="0068771C"/>
    <w:rsid w:val="00687DD6"/>
    <w:rsid w:val="0069122B"/>
    <w:rsid w:val="00691B61"/>
    <w:rsid w:val="00692AD3"/>
    <w:rsid w:val="006963F9"/>
    <w:rsid w:val="006964B5"/>
    <w:rsid w:val="006A105D"/>
    <w:rsid w:val="006A1870"/>
    <w:rsid w:val="006B29E2"/>
    <w:rsid w:val="006B58F6"/>
    <w:rsid w:val="006C12CD"/>
    <w:rsid w:val="006C12F5"/>
    <w:rsid w:val="006C1E30"/>
    <w:rsid w:val="006C2E8A"/>
    <w:rsid w:val="006C376D"/>
    <w:rsid w:val="006C377C"/>
    <w:rsid w:val="006C5B1C"/>
    <w:rsid w:val="006C6861"/>
    <w:rsid w:val="006C7FE6"/>
    <w:rsid w:val="006D13DF"/>
    <w:rsid w:val="006D1754"/>
    <w:rsid w:val="006D389E"/>
    <w:rsid w:val="006D3B00"/>
    <w:rsid w:val="006D46FA"/>
    <w:rsid w:val="006D6108"/>
    <w:rsid w:val="006D72E2"/>
    <w:rsid w:val="006D750E"/>
    <w:rsid w:val="006D7DB2"/>
    <w:rsid w:val="006E3070"/>
    <w:rsid w:val="006E3E89"/>
    <w:rsid w:val="006E6D50"/>
    <w:rsid w:val="006E72CB"/>
    <w:rsid w:val="006F05E1"/>
    <w:rsid w:val="006F3A4D"/>
    <w:rsid w:val="006F3BE8"/>
    <w:rsid w:val="006F4E13"/>
    <w:rsid w:val="006F665E"/>
    <w:rsid w:val="006F7D98"/>
    <w:rsid w:val="00700616"/>
    <w:rsid w:val="00701F55"/>
    <w:rsid w:val="007028F4"/>
    <w:rsid w:val="00703349"/>
    <w:rsid w:val="007035E0"/>
    <w:rsid w:val="00704276"/>
    <w:rsid w:val="00706EA0"/>
    <w:rsid w:val="00712740"/>
    <w:rsid w:val="0071409A"/>
    <w:rsid w:val="00714A49"/>
    <w:rsid w:val="00715062"/>
    <w:rsid w:val="007154AA"/>
    <w:rsid w:val="00721484"/>
    <w:rsid w:val="0072246A"/>
    <w:rsid w:val="00722521"/>
    <w:rsid w:val="00722759"/>
    <w:rsid w:val="0072355E"/>
    <w:rsid w:val="00726A97"/>
    <w:rsid w:val="007271CB"/>
    <w:rsid w:val="00727553"/>
    <w:rsid w:val="00734222"/>
    <w:rsid w:val="00735FE0"/>
    <w:rsid w:val="00736E45"/>
    <w:rsid w:val="00737494"/>
    <w:rsid w:val="00743CE0"/>
    <w:rsid w:val="00745A19"/>
    <w:rsid w:val="00745F27"/>
    <w:rsid w:val="007467E4"/>
    <w:rsid w:val="00751940"/>
    <w:rsid w:val="0075215A"/>
    <w:rsid w:val="007521DC"/>
    <w:rsid w:val="0075222A"/>
    <w:rsid w:val="007522E4"/>
    <w:rsid w:val="00752A91"/>
    <w:rsid w:val="0075420D"/>
    <w:rsid w:val="007556A7"/>
    <w:rsid w:val="007600A2"/>
    <w:rsid w:val="007636DB"/>
    <w:rsid w:val="00764067"/>
    <w:rsid w:val="00765020"/>
    <w:rsid w:val="0076588A"/>
    <w:rsid w:val="00766674"/>
    <w:rsid w:val="0077028B"/>
    <w:rsid w:val="007717F6"/>
    <w:rsid w:val="007726C7"/>
    <w:rsid w:val="00774B05"/>
    <w:rsid w:val="00777AD8"/>
    <w:rsid w:val="007805C5"/>
    <w:rsid w:val="00785B05"/>
    <w:rsid w:val="00785BB2"/>
    <w:rsid w:val="00785E0D"/>
    <w:rsid w:val="007866A4"/>
    <w:rsid w:val="0078697D"/>
    <w:rsid w:val="00795271"/>
    <w:rsid w:val="007967B4"/>
    <w:rsid w:val="007972AD"/>
    <w:rsid w:val="007A07CD"/>
    <w:rsid w:val="007A1B39"/>
    <w:rsid w:val="007A1B53"/>
    <w:rsid w:val="007A38A3"/>
    <w:rsid w:val="007A53FD"/>
    <w:rsid w:val="007A5F84"/>
    <w:rsid w:val="007A5F96"/>
    <w:rsid w:val="007A6C47"/>
    <w:rsid w:val="007B1473"/>
    <w:rsid w:val="007B38BA"/>
    <w:rsid w:val="007B4C9A"/>
    <w:rsid w:val="007B5AE9"/>
    <w:rsid w:val="007B5C32"/>
    <w:rsid w:val="007B5D8B"/>
    <w:rsid w:val="007B7FB8"/>
    <w:rsid w:val="007C074A"/>
    <w:rsid w:val="007C26C6"/>
    <w:rsid w:val="007C4FE8"/>
    <w:rsid w:val="007C58F9"/>
    <w:rsid w:val="007C6863"/>
    <w:rsid w:val="007C6A77"/>
    <w:rsid w:val="007C7DCC"/>
    <w:rsid w:val="007D0590"/>
    <w:rsid w:val="007D21B3"/>
    <w:rsid w:val="007D2BF7"/>
    <w:rsid w:val="007D4FDA"/>
    <w:rsid w:val="007D59AE"/>
    <w:rsid w:val="007D6179"/>
    <w:rsid w:val="007E252C"/>
    <w:rsid w:val="007E283E"/>
    <w:rsid w:val="007E4FD6"/>
    <w:rsid w:val="007F05DA"/>
    <w:rsid w:val="007F19FD"/>
    <w:rsid w:val="007F1E7E"/>
    <w:rsid w:val="007F5872"/>
    <w:rsid w:val="007F5A42"/>
    <w:rsid w:val="007F7062"/>
    <w:rsid w:val="0080036C"/>
    <w:rsid w:val="0080064A"/>
    <w:rsid w:val="00805FB2"/>
    <w:rsid w:val="008066B7"/>
    <w:rsid w:val="008102BA"/>
    <w:rsid w:val="00813959"/>
    <w:rsid w:val="008146C8"/>
    <w:rsid w:val="00821E65"/>
    <w:rsid w:val="008236FD"/>
    <w:rsid w:val="00823E62"/>
    <w:rsid w:val="00825C87"/>
    <w:rsid w:val="00827E46"/>
    <w:rsid w:val="00832126"/>
    <w:rsid w:val="00841C9A"/>
    <w:rsid w:val="00843D2B"/>
    <w:rsid w:val="0084491D"/>
    <w:rsid w:val="00846094"/>
    <w:rsid w:val="008462A5"/>
    <w:rsid w:val="0084673E"/>
    <w:rsid w:val="00854779"/>
    <w:rsid w:val="00854EC6"/>
    <w:rsid w:val="00855A5A"/>
    <w:rsid w:val="00863CAC"/>
    <w:rsid w:val="00873122"/>
    <w:rsid w:val="008733BC"/>
    <w:rsid w:val="00875C8B"/>
    <w:rsid w:val="0088061E"/>
    <w:rsid w:val="008814ED"/>
    <w:rsid w:val="008817C3"/>
    <w:rsid w:val="00881F2D"/>
    <w:rsid w:val="00882EE7"/>
    <w:rsid w:val="008844D8"/>
    <w:rsid w:val="00885CD1"/>
    <w:rsid w:val="008860E9"/>
    <w:rsid w:val="00886855"/>
    <w:rsid w:val="008869B0"/>
    <w:rsid w:val="008915EB"/>
    <w:rsid w:val="008947F4"/>
    <w:rsid w:val="00894EEF"/>
    <w:rsid w:val="00897047"/>
    <w:rsid w:val="008A0CD3"/>
    <w:rsid w:val="008A3B65"/>
    <w:rsid w:val="008A3B76"/>
    <w:rsid w:val="008A3B88"/>
    <w:rsid w:val="008A4C45"/>
    <w:rsid w:val="008A64D9"/>
    <w:rsid w:val="008A6C95"/>
    <w:rsid w:val="008B0A92"/>
    <w:rsid w:val="008B0CAF"/>
    <w:rsid w:val="008B5086"/>
    <w:rsid w:val="008B5A53"/>
    <w:rsid w:val="008B7D4F"/>
    <w:rsid w:val="008C38D0"/>
    <w:rsid w:val="008C3BFD"/>
    <w:rsid w:val="008C3F2B"/>
    <w:rsid w:val="008D0224"/>
    <w:rsid w:val="008D046E"/>
    <w:rsid w:val="008D118B"/>
    <w:rsid w:val="008D13F0"/>
    <w:rsid w:val="008D1D13"/>
    <w:rsid w:val="008D33E8"/>
    <w:rsid w:val="008D3B53"/>
    <w:rsid w:val="008D4CAE"/>
    <w:rsid w:val="008E4957"/>
    <w:rsid w:val="008E5F5E"/>
    <w:rsid w:val="008E684E"/>
    <w:rsid w:val="008F1B72"/>
    <w:rsid w:val="008F36DB"/>
    <w:rsid w:val="008F491F"/>
    <w:rsid w:val="00902984"/>
    <w:rsid w:val="00903852"/>
    <w:rsid w:val="00904CDD"/>
    <w:rsid w:val="009062E8"/>
    <w:rsid w:val="00906C49"/>
    <w:rsid w:val="009112E6"/>
    <w:rsid w:val="00911CA1"/>
    <w:rsid w:val="00911F81"/>
    <w:rsid w:val="009127AA"/>
    <w:rsid w:val="00914951"/>
    <w:rsid w:val="00925917"/>
    <w:rsid w:val="009267EA"/>
    <w:rsid w:val="00930B01"/>
    <w:rsid w:val="00930B8D"/>
    <w:rsid w:val="00932E23"/>
    <w:rsid w:val="00933F91"/>
    <w:rsid w:val="00934703"/>
    <w:rsid w:val="00936A79"/>
    <w:rsid w:val="00937FA4"/>
    <w:rsid w:val="00940316"/>
    <w:rsid w:val="00940C83"/>
    <w:rsid w:val="009410CB"/>
    <w:rsid w:val="00944CF8"/>
    <w:rsid w:val="00951482"/>
    <w:rsid w:val="00953708"/>
    <w:rsid w:val="00953B7B"/>
    <w:rsid w:val="0095470C"/>
    <w:rsid w:val="00955B76"/>
    <w:rsid w:val="00955DB4"/>
    <w:rsid w:val="00960492"/>
    <w:rsid w:val="0096060B"/>
    <w:rsid w:val="00960F8F"/>
    <w:rsid w:val="0096155A"/>
    <w:rsid w:val="00962D35"/>
    <w:rsid w:val="00965618"/>
    <w:rsid w:val="00966EF8"/>
    <w:rsid w:val="00970005"/>
    <w:rsid w:val="00970742"/>
    <w:rsid w:val="00971254"/>
    <w:rsid w:val="00971419"/>
    <w:rsid w:val="00971D1A"/>
    <w:rsid w:val="00971E47"/>
    <w:rsid w:val="009741CA"/>
    <w:rsid w:val="00974284"/>
    <w:rsid w:val="00975123"/>
    <w:rsid w:val="00975A43"/>
    <w:rsid w:val="00975D18"/>
    <w:rsid w:val="00983621"/>
    <w:rsid w:val="00984D55"/>
    <w:rsid w:val="0098739C"/>
    <w:rsid w:val="00991476"/>
    <w:rsid w:val="00991B71"/>
    <w:rsid w:val="00993573"/>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BE7"/>
    <w:rsid w:val="009B303C"/>
    <w:rsid w:val="009B3106"/>
    <w:rsid w:val="009B3451"/>
    <w:rsid w:val="009B44BE"/>
    <w:rsid w:val="009B4782"/>
    <w:rsid w:val="009B61E3"/>
    <w:rsid w:val="009C1544"/>
    <w:rsid w:val="009C68B8"/>
    <w:rsid w:val="009C690A"/>
    <w:rsid w:val="009C6C7E"/>
    <w:rsid w:val="009D2BA4"/>
    <w:rsid w:val="009E0485"/>
    <w:rsid w:val="009E115D"/>
    <w:rsid w:val="009E324E"/>
    <w:rsid w:val="009E3A90"/>
    <w:rsid w:val="009E4865"/>
    <w:rsid w:val="009E53B8"/>
    <w:rsid w:val="009E66CE"/>
    <w:rsid w:val="009E68FE"/>
    <w:rsid w:val="009F25B9"/>
    <w:rsid w:val="009F3C45"/>
    <w:rsid w:val="009F3EBA"/>
    <w:rsid w:val="009F4CE6"/>
    <w:rsid w:val="009F6C74"/>
    <w:rsid w:val="009F6D01"/>
    <w:rsid w:val="00A00F4F"/>
    <w:rsid w:val="00A02369"/>
    <w:rsid w:val="00A04B97"/>
    <w:rsid w:val="00A0638B"/>
    <w:rsid w:val="00A064E4"/>
    <w:rsid w:val="00A06AFD"/>
    <w:rsid w:val="00A1058B"/>
    <w:rsid w:val="00A12276"/>
    <w:rsid w:val="00A1461F"/>
    <w:rsid w:val="00A1685B"/>
    <w:rsid w:val="00A20D13"/>
    <w:rsid w:val="00A214A5"/>
    <w:rsid w:val="00A2328A"/>
    <w:rsid w:val="00A25538"/>
    <w:rsid w:val="00A265AF"/>
    <w:rsid w:val="00A26D1E"/>
    <w:rsid w:val="00A27A98"/>
    <w:rsid w:val="00A307DF"/>
    <w:rsid w:val="00A30819"/>
    <w:rsid w:val="00A322D7"/>
    <w:rsid w:val="00A357F1"/>
    <w:rsid w:val="00A35DDB"/>
    <w:rsid w:val="00A363EE"/>
    <w:rsid w:val="00A36FC0"/>
    <w:rsid w:val="00A37383"/>
    <w:rsid w:val="00A37740"/>
    <w:rsid w:val="00A401DE"/>
    <w:rsid w:val="00A4114D"/>
    <w:rsid w:val="00A42644"/>
    <w:rsid w:val="00A516CC"/>
    <w:rsid w:val="00A518EE"/>
    <w:rsid w:val="00A52909"/>
    <w:rsid w:val="00A559C8"/>
    <w:rsid w:val="00A603FA"/>
    <w:rsid w:val="00A6263E"/>
    <w:rsid w:val="00A652FE"/>
    <w:rsid w:val="00A6547C"/>
    <w:rsid w:val="00A702F0"/>
    <w:rsid w:val="00A70979"/>
    <w:rsid w:val="00A714E3"/>
    <w:rsid w:val="00A72A12"/>
    <w:rsid w:val="00A747AD"/>
    <w:rsid w:val="00A75CE5"/>
    <w:rsid w:val="00A76E69"/>
    <w:rsid w:val="00A82BFB"/>
    <w:rsid w:val="00A84B13"/>
    <w:rsid w:val="00A851D8"/>
    <w:rsid w:val="00A86210"/>
    <w:rsid w:val="00A86688"/>
    <w:rsid w:val="00A86E16"/>
    <w:rsid w:val="00A90CB4"/>
    <w:rsid w:val="00A952C8"/>
    <w:rsid w:val="00A96F2C"/>
    <w:rsid w:val="00AA134A"/>
    <w:rsid w:val="00AA1D87"/>
    <w:rsid w:val="00AA1EF3"/>
    <w:rsid w:val="00AA212D"/>
    <w:rsid w:val="00AA4397"/>
    <w:rsid w:val="00AA4BB3"/>
    <w:rsid w:val="00AA4BF1"/>
    <w:rsid w:val="00AA60FF"/>
    <w:rsid w:val="00AB1A66"/>
    <w:rsid w:val="00AB2958"/>
    <w:rsid w:val="00AB344C"/>
    <w:rsid w:val="00AC0D0E"/>
    <w:rsid w:val="00AC4F67"/>
    <w:rsid w:val="00AC5BD9"/>
    <w:rsid w:val="00AC73D1"/>
    <w:rsid w:val="00AD157C"/>
    <w:rsid w:val="00AD1E9F"/>
    <w:rsid w:val="00AD27C1"/>
    <w:rsid w:val="00AD74C5"/>
    <w:rsid w:val="00AE1CB0"/>
    <w:rsid w:val="00AE4383"/>
    <w:rsid w:val="00AE4790"/>
    <w:rsid w:val="00AE4F84"/>
    <w:rsid w:val="00AE597A"/>
    <w:rsid w:val="00AF3657"/>
    <w:rsid w:val="00AF4E57"/>
    <w:rsid w:val="00B01365"/>
    <w:rsid w:val="00B1000C"/>
    <w:rsid w:val="00B1063A"/>
    <w:rsid w:val="00B12542"/>
    <w:rsid w:val="00B142D2"/>
    <w:rsid w:val="00B20E8C"/>
    <w:rsid w:val="00B20F22"/>
    <w:rsid w:val="00B226B7"/>
    <w:rsid w:val="00B2313B"/>
    <w:rsid w:val="00B26DE3"/>
    <w:rsid w:val="00B27CAA"/>
    <w:rsid w:val="00B33AAF"/>
    <w:rsid w:val="00B33B06"/>
    <w:rsid w:val="00B34890"/>
    <w:rsid w:val="00B3779B"/>
    <w:rsid w:val="00B40404"/>
    <w:rsid w:val="00B415BD"/>
    <w:rsid w:val="00B41F2E"/>
    <w:rsid w:val="00B43422"/>
    <w:rsid w:val="00B435B5"/>
    <w:rsid w:val="00B43A8C"/>
    <w:rsid w:val="00B44790"/>
    <w:rsid w:val="00B459C8"/>
    <w:rsid w:val="00B50C32"/>
    <w:rsid w:val="00B510F6"/>
    <w:rsid w:val="00B52D91"/>
    <w:rsid w:val="00B5441A"/>
    <w:rsid w:val="00B552FE"/>
    <w:rsid w:val="00B564B1"/>
    <w:rsid w:val="00B564B6"/>
    <w:rsid w:val="00B60332"/>
    <w:rsid w:val="00B60618"/>
    <w:rsid w:val="00B620DD"/>
    <w:rsid w:val="00B632E3"/>
    <w:rsid w:val="00B64058"/>
    <w:rsid w:val="00B651B9"/>
    <w:rsid w:val="00B66E09"/>
    <w:rsid w:val="00B703D5"/>
    <w:rsid w:val="00B71A98"/>
    <w:rsid w:val="00B733DB"/>
    <w:rsid w:val="00B74F09"/>
    <w:rsid w:val="00B7549E"/>
    <w:rsid w:val="00B75F74"/>
    <w:rsid w:val="00B76945"/>
    <w:rsid w:val="00B801E5"/>
    <w:rsid w:val="00B80418"/>
    <w:rsid w:val="00B807AF"/>
    <w:rsid w:val="00B82BFE"/>
    <w:rsid w:val="00B85174"/>
    <w:rsid w:val="00B867A0"/>
    <w:rsid w:val="00B87D49"/>
    <w:rsid w:val="00B90548"/>
    <w:rsid w:val="00B91A75"/>
    <w:rsid w:val="00B92DCE"/>
    <w:rsid w:val="00B95568"/>
    <w:rsid w:val="00B955C6"/>
    <w:rsid w:val="00B95D89"/>
    <w:rsid w:val="00B971AD"/>
    <w:rsid w:val="00BA0223"/>
    <w:rsid w:val="00BA139E"/>
    <w:rsid w:val="00BA175C"/>
    <w:rsid w:val="00BA684F"/>
    <w:rsid w:val="00BB0FA6"/>
    <w:rsid w:val="00BB0FE8"/>
    <w:rsid w:val="00BB1288"/>
    <w:rsid w:val="00BB683C"/>
    <w:rsid w:val="00BC010F"/>
    <w:rsid w:val="00BC4E5F"/>
    <w:rsid w:val="00BC587A"/>
    <w:rsid w:val="00BC7E22"/>
    <w:rsid w:val="00BD09DC"/>
    <w:rsid w:val="00BD1CEC"/>
    <w:rsid w:val="00BD2184"/>
    <w:rsid w:val="00BD2203"/>
    <w:rsid w:val="00BD3D7A"/>
    <w:rsid w:val="00BD691A"/>
    <w:rsid w:val="00BE0033"/>
    <w:rsid w:val="00BE0195"/>
    <w:rsid w:val="00BE05FE"/>
    <w:rsid w:val="00BE1461"/>
    <w:rsid w:val="00BE2679"/>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16EE"/>
    <w:rsid w:val="00C126C4"/>
    <w:rsid w:val="00C16BDE"/>
    <w:rsid w:val="00C202AF"/>
    <w:rsid w:val="00C22363"/>
    <w:rsid w:val="00C22F7D"/>
    <w:rsid w:val="00C23AFC"/>
    <w:rsid w:val="00C23DA4"/>
    <w:rsid w:val="00C25F10"/>
    <w:rsid w:val="00C25FEB"/>
    <w:rsid w:val="00C33061"/>
    <w:rsid w:val="00C3375C"/>
    <w:rsid w:val="00C33CCE"/>
    <w:rsid w:val="00C34BFD"/>
    <w:rsid w:val="00C37929"/>
    <w:rsid w:val="00C417D0"/>
    <w:rsid w:val="00C427DB"/>
    <w:rsid w:val="00C42950"/>
    <w:rsid w:val="00C442AE"/>
    <w:rsid w:val="00C46624"/>
    <w:rsid w:val="00C472A2"/>
    <w:rsid w:val="00C50B40"/>
    <w:rsid w:val="00C52E9A"/>
    <w:rsid w:val="00C52FCA"/>
    <w:rsid w:val="00C541E5"/>
    <w:rsid w:val="00C55671"/>
    <w:rsid w:val="00C55D01"/>
    <w:rsid w:val="00C57E72"/>
    <w:rsid w:val="00C603C3"/>
    <w:rsid w:val="00C60F16"/>
    <w:rsid w:val="00C61F66"/>
    <w:rsid w:val="00C62CED"/>
    <w:rsid w:val="00C62EE8"/>
    <w:rsid w:val="00C63D7F"/>
    <w:rsid w:val="00C64532"/>
    <w:rsid w:val="00C66B31"/>
    <w:rsid w:val="00C7095C"/>
    <w:rsid w:val="00C7196E"/>
    <w:rsid w:val="00C73C5B"/>
    <w:rsid w:val="00C75FED"/>
    <w:rsid w:val="00C76D48"/>
    <w:rsid w:val="00C84B92"/>
    <w:rsid w:val="00C87DFF"/>
    <w:rsid w:val="00C91AB1"/>
    <w:rsid w:val="00C93665"/>
    <w:rsid w:val="00C93D6F"/>
    <w:rsid w:val="00C93E4D"/>
    <w:rsid w:val="00C97270"/>
    <w:rsid w:val="00CA3CA5"/>
    <w:rsid w:val="00CA3F65"/>
    <w:rsid w:val="00CA4865"/>
    <w:rsid w:val="00CA4B6B"/>
    <w:rsid w:val="00CA685A"/>
    <w:rsid w:val="00CB004E"/>
    <w:rsid w:val="00CB13E6"/>
    <w:rsid w:val="00CB3671"/>
    <w:rsid w:val="00CB6492"/>
    <w:rsid w:val="00CC01B2"/>
    <w:rsid w:val="00CC22BE"/>
    <w:rsid w:val="00CC2E19"/>
    <w:rsid w:val="00CC3603"/>
    <w:rsid w:val="00CC45F3"/>
    <w:rsid w:val="00CD2DD7"/>
    <w:rsid w:val="00CD312C"/>
    <w:rsid w:val="00CD3760"/>
    <w:rsid w:val="00CD3806"/>
    <w:rsid w:val="00CD7193"/>
    <w:rsid w:val="00CE04B0"/>
    <w:rsid w:val="00CE1127"/>
    <w:rsid w:val="00CE1383"/>
    <w:rsid w:val="00CE16ED"/>
    <w:rsid w:val="00CE5575"/>
    <w:rsid w:val="00CE6EF2"/>
    <w:rsid w:val="00CE7CD4"/>
    <w:rsid w:val="00CF1B6D"/>
    <w:rsid w:val="00CF2E77"/>
    <w:rsid w:val="00CF3FDE"/>
    <w:rsid w:val="00CF4E0C"/>
    <w:rsid w:val="00CF6403"/>
    <w:rsid w:val="00CF7500"/>
    <w:rsid w:val="00D01DC2"/>
    <w:rsid w:val="00D02445"/>
    <w:rsid w:val="00D02D83"/>
    <w:rsid w:val="00D030CA"/>
    <w:rsid w:val="00D03766"/>
    <w:rsid w:val="00D07DAA"/>
    <w:rsid w:val="00D11758"/>
    <w:rsid w:val="00D1286B"/>
    <w:rsid w:val="00D12BA5"/>
    <w:rsid w:val="00D14BC0"/>
    <w:rsid w:val="00D16CCE"/>
    <w:rsid w:val="00D174E4"/>
    <w:rsid w:val="00D207FC"/>
    <w:rsid w:val="00D2238A"/>
    <w:rsid w:val="00D241A7"/>
    <w:rsid w:val="00D3254D"/>
    <w:rsid w:val="00D32C80"/>
    <w:rsid w:val="00D32DFB"/>
    <w:rsid w:val="00D33BD9"/>
    <w:rsid w:val="00D35DEF"/>
    <w:rsid w:val="00D35DFD"/>
    <w:rsid w:val="00D43674"/>
    <w:rsid w:val="00D44CF6"/>
    <w:rsid w:val="00D52A4A"/>
    <w:rsid w:val="00D533E8"/>
    <w:rsid w:val="00D5440A"/>
    <w:rsid w:val="00D54967"/>
    <w:rsid w:val="00D56094"/>
    <w:rsid w:val="00D60ADF"/>
    <w:rsid w:val="00D61677"/>
    <w:rsid w:val="00D61912"/>
    <w:rsid w:val="00D61BC0"/>
    <w:rsid w:val="00D6408F"/>
    <w:rsid w:val="00D66AF2"/>
    <w:rsid w:val="00D67195"/>
    <w:rsid w:val="00D671BF"/>
    <w:rsid w:val="00D7340F"/>
    <w:rsid w:val="00D7387D"/>
    <w:rsid w:val="00D73CE6"/>
    <w:rsid w:val="00D7529A"/>
    <w:rsid w:val="00D755AB"/>
    <w:rsid w:val="00D80559"/>
    <w:rsid w:val="00D81853"/>
    <w:rsid w:val="00D81B6B"/>
    <w:rsid w:val="00D824E7"/>
    <w:rsid w:val="00D82E4E"/>
    <w:rsid w:val="00D837CA"/>
    <w:rsid w:val="00D83C8B"/>
    <w:rsid w:val="00D84A02"/>
    <w:rsid w:val="00D8505F"/>
    <w:rsid w:val="00D863E0"/>
    <w:rsid w:val="00D866E0"/>
    <w:rsid w:val="00D867B1"/>
    <w:rsid w:val="00D86CB2"/>
    <w:rsid w:val="00D87938"/>
    <w:rsid w:val="00D92709"/>
    <w:rsid w:val="00D93340"/>
    <w:rsid w:val="00D93B40"/>
    <w:rsid w:val="00DA03AE"/>
    <w:rsid w:val="00DA1207"/>
    <w:rsid w:val="00DA15AA"/>
    <w:rsid w:val="00DA2E1A"/>
    <w:rsid w:val="00DA3D1A"/>
    <w:rsid w:val="00DA4115"/>
    <w:rsid w:val="00DA43AD"/>
    <w:rsid w:val="00DA5116"/>
    <w:rsid w:val="00DB052A"/>
    <w:rsid w:val="00DB09C5"/>
    <w:rsid w:val="00DB2527"/>
    <w:rsid w:val="00DB4DC5"/>
    <w:rsid w:val="00DB6B0B"/>
    <w:rsid w:val="00DC133A"/>
    <w:rsid w:val="00DC46F6"/>
    <w:rsid w:val="00DC60C5"/>
    <w:rsid w:val="00DD024A"/>
    <w:rsid w:val="00DD14FB"/>
    <w:rsid w:val="00DD3704"/>
    <w:rsid w:val="00DD3971"/>
    <w:rsid w:val="00DD70BA"/>
    <w:rsid w:val="00DE2E28"/>
    <w:rsid w:val="00DE5974"/>
    <w:rsid w:val="00DE6058"/>
    <w:rsid w:val="00DF0679"/>
    <w:rsid w:val="00DF33FD"/>
    <w:rsid w:val="00DF4672"/>
    <w:rsid w:val="00DF5B3A"/>
    <w:rsid w:val="00DF60AA"/>
    <w:rsid w:val="00DF73F5"/>
    <w:rsid w:val="00E0006D"/>
    <w:rsid w:val="00E011F2"/>
    <w:rsid w:val="00E01327"/>
    <w:rsid w:val="00E0530B"/>
    <w:rsid w:val="00E1054B"/>
    <w:rsid w:val="00E10C21"/>
    <w:rsid w:val="00E13617"/>
    <w:rsid w:val="00E14EAE"/>
    <w:rsid w:val="00E176F7"/>
    <w:rsid w:val="00E207B8"/>
    <w:rsid w:val="00E2193D"/>
    <w:rsid w:val="00E22B2A"/>
    <w:rsid w:val="00E22DA1"/>
    <w:rsid w:val="00E2365C"/>
    <w:rsid w:val="00E24323"/>
    <w:rsid w:val="00E25652"/>
    <w:rsid w:val="00E277B3"/>
    <w:rsid w:val="00E27A27"/>
    <w:rsid w:val="00E3055D"/>
    <w:rsid w:val="00E310DA"/>
    <w:rsid w:val="00E319D1"/>
    <w:rsid w:val="00E3242A"/>
    <w:rsid w:val="00E348A8"/>
    <w:rsid w:val="00E35B5D"/>
    <w:rsid w:val="00E361B6"/>
    <w:rsid w:val="00E363C9"/>
    <w:rsid w:val="00E41252"/>
    <w:rsid w:val="00E415DD"/>
    <w:rsid w:val="00E44BB3"/>
    <w:rsid w:val="00E519AD"/>
    <w:rsid w:val="00E5280E"/>
    <w:rsid w:val="00E57EBE"/>
    <w:rsid w:val="00E60578"/>
    <w:rsid w:val="00E60B28"/>
    <w:rsid w:val="00E60E28"/>
    <w:rsid w:val="00E61B9D"/>
    <w:rsid w:val="00E636CA"/>
    <w:rsid w:val="00E711BD"/>
    <w:rsid w:val="00E752FC"/>
    <w:rsid w:val="00E77066"/>
    <w:rsid w:val="00E770E2"/>
    <w:rsid w:val="00E7731A"/>
    <w:rsid w:val="00E77DC4"/>
    <w:rsid w:val="00E849D6"/>
    <w:rsid w:val="00E87ACF"/>
    <w:rsid w:val="00E9195E"/>
    <w:rsid w:val="00E93336"/>
    <w:rsid w:val="00E96EA1"/>
    <w:rsid w:val="00E97145"/>
    <w:rsid w:val="00E97204"/>
    <w:rsid w:val="00EA1E82"/>
    <w:rsid w:val="00EA3D0E"/>
    <w:rsid w:val="00EA41EF"/>
    <w:rsid w:val="00EA42E6"/>
    <w:rsid w:val="00EA5AE1"/>
    <w:rsid w:val="00EA5FC8"/>
    <w:rsid w:val="00EA60E9"/>
    <w:rsid w:val="00EB3D39"/>
    <w:rsid w:val="00EB55D9"/>
    <w:rsid w:val="00EC0921"/>
    <w:rsid w:val="00EC15CE"/>
    <w:rsid w:val="00EC3E3C"/>
    <w:rsid w:val="00EC424E"/>
    <w:rsid w:val="00EC5E5D"/>
    <w:rsid w:val="00EC63F5"/>
    <w:rsid w:val="00ED0DED"/>
    <w:rsid w:val="00ED221C"/>
    <w:rsid w:val="00ED252B"/>
    <w:rsid w:val="00ED3908"/>
    <w:rsid w:val="00ED399F"/>
    <w:rsid w:val="00ED54E1"/>
    <w:rsid w:val="00ED705B"/>
    <w:rsid w:val="00EE0135"/>
    <w:rsid w:val="00EE19AF"/>
    <w:rsid w:val="00EE349A"/>
    <w:rsid w:val="00EE4298"/>
    <w:rsid w:val="00EE6EF1"/>
    <w:rsid w:val="00EF124E"/>
    <w:rsid w:val="00EF253D"/>
    <w:rsid w:val="00EF39CA"/>
    <w:rsid w:val="00EF3C26"/>
    <w:rsid w:val="00EF5525"/>
    <w:rsid w:val="00EF74E1"/>
    <w:rsid w:val="00F013C0"/>
    <w:rsid w:val="00F06133"/>
    <w:rsid w:val="00F10237"/>
    <w:rsid w:val="00F121A6"/>
    <w:rsid w:val="00F12D8D"/>
    <w:rsid w:val="00F16117"/>
    <w:rsid w:val="00F16EE1"/>
    <w:rsid w:val="00F208E5"/>
    <w:rsid w:val="00F21F0C"/>
    <w:rsid w:val="00F23FD7"/>
    <w:rsid w:val="00F26DAF"/>
    <w:rsid w:val="00F27DD3"/>
    <w:rsid w:val="00F3191C"/>
    <w:rsid w:val="00F337CC"/>
    <w:rsid w:val="00F34435"/>
    <w:rsid w:val="00F350E7"/>
    <w:rsid w:val="00F36641"/>
    <w:rsid w:val="00F37917"/>
    <w:rsid w:val="00F435E5"/>
    <w:rsid w:val="00F46C47"/>
    <w:rsid w:val="00F477E2"/>
    <w:rsid w:val="00F504C6"/>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7747"/>
    <w:rsid w:val="00F8061A"/>
    <w:rsid w:val="00F80EC0"/>
    <w:rsid w:val="00F80FDB"/>
    <w:rsid w:val="00F8160C"/>
    <w:rsid w:val="00F83351"/>
    <w:rsid w:val="00F87258"/>
    <w:rsid w:val="00F87444"/>
    <w:rsid w:val="00F9178E"/>
    <w:rsid w:val="00F92D57"/>
    <w:rsid w:val="00F94F2F"/>
    <w:rsid w:val="00F969A1"/>
    <w:rsid w:val="00F9778B"/>
    <w:rsid w:val="00F97ACF"/>
    <w:rsid w:val="00F97CA7"/>
    <w:rsid w:val="00FA0A35"/>
    <w:rsid w:val="00FA13FB"/>
    <w:rsid w:val="00FB03A5"/>
    <w:rsid w:val="00FB21E9"/>
    <w:rsid w:val="00FB2E78"/>
    <w:rsid w:val="00FB472B"/>
    <w:rsid w:val="00FB5783"/>
    <w:rsid w:val="00FC04B0"/>
    <w:rsid w:val="00FC174D"/>
    <w:rsid w:val="00FC2FC0"/>
    <w:rsid w:val="00FC40D6"/>
    <w:rsid w:val="00FC4F14"/>
    <w:rsid w:val="00FD10B7"/>
    <w:rsid w:val="00FD1BBB"/>
    <w:rsid w:val="00FD2210"/>
    <w:rsid w:val="00FD2228"/>
    <w:rsid w:val="00FD22AF"/>
    <w:rsid w:val="00FD2301"/>
    <w:rsid w:val="00FD3E77"/>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EFD59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character" w:customStyle="1" w:styleId="FootnoteTextChar">
    <w:name w:val="Footnote Text Char"/>
    <w:link w:val="FootnoteText"/>
    <w:uiPriority w:val="99"/>
    <w:semiHidden/>
    <w:rsid w:val="006F05E1"/>
  </w:style>
  <w:style w:type="paragraph" w:styleId="CommentSubject">
    <w:name w:val="annotation subject"/>
    <w:basedOn w:val="CommentText"/>
    <w:next w:val="CommentText"/>
    <w:link w:val="CommentSubjectChar"/>
    <w:rsid w:val="00DC133A"/>
    <w:pPr>
      <w:overflowPunct/>
      <w:autoSpaceDE/>
      <w:autoSpaceDN/>
      <w:adjustRightInd/>
      <w:jc w:val="both"/>
      <w:textAlignment w:val="auto"/>
    </w:pPr>
    <w:rPr>
      <w:b/>
      <w:bCs/>
    </w:rPr>
  </w:style>
  <w:style w:type="character" w:customStyle="1" w:styleId="CommentSubjectChar">
    <w:name w:val="Comment Subject Char"/>
    <w:basedOn w:val="CommentTextChar"/>
    <w:link w:val="CommentSubject"/>
    <w:rsid w:val="00DC13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94FE0-6B04-4A78-87BF-52D314680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1267</Words>
  <Characters>6916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2021-08-10T15:34:00Z</dcterms:created>
  <dcterms:modified xsi:type="dcterms:W3CDTF">2021-08-10T15:37:00Z</dcterms:modified>
</cp:coreProperties>
</file>